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4CD" w:rsidRPr="003D563B" w:rsidRDefault="00FB14CD" w:rsidP="00FB14CD">
      <w:pPr>
        <w:rPr>
          <w:rFonts w:asciiTheme="minorHAnsi" w:hAnsiTheme="minorHAnsi" w:cstheme="minorHAnsi"/>
          <w:b/>
        </w:rPr>
      </w:pPr>
      <w:bookmarkStart w:id="0" w:name="_GoBack"/>
      <w:bookmarkEnd w:id="0"/>
      <w:r>
        <w:t xml:space="preserve">                                                                            </w:t>
      </w:r>
      <w:r>
        <w:rPr>
          <w:rFonts w:asciiTheme="minorHAnsi" w:hAnsiTheme="minorHAnsi" w:cstheme="minorHAnsi"/>
          <w:b/>
        </w:rPr>
        <w:t>ZÁPIS č. 9</w:t>
      </w:r>
    </w:p>
    <w:p w:rsidR="00FB14CD" w:rsidRPr="003D563B" w:rsidRDefault="00FB14CD" w:rsidP="00FB14CD">
      <w:pPr>
        <w:rPr>
          <w:rFonts w:asciiTheme="minorHAnsi" w:hAnsiTheme="minorHAnsi" w:cstheme="minorHAnsi"/>
          <w:b/>
        </w:rPr>
      </w:pPr>
      <w:r w:rsidRPr="003D563B">
        <w:rPr>
          <w:rFonts w:asciiTheme="minorHAnsi" w:hAnsiTheme="minorHAnsi" w:cstheme="minorHAnsi"/>
          <w:b/>
        </w:rPr>
        <w:t xml:space="preserve">                </w:t>
      </w:r>
      <w:r>
        <w:rPr>
          <w:rFonts w:asciiTheme="minorHAnsi" w:hAnsiTheme="minorHAnsi" w:cstheme="minorHAnsi"/>
          <w:b/>
        </w:rPr>
        <w:t xml:space="preserve">                        </w:t>
      </w:r>
      <w:r w:rsidRPr="003D563B">
        <w:rPr>
          <w:rFonts w:asciiTheme="minorHAnsi" w:hAnsiTheme="minorHAnsi" w:cstheme="minorHAnsi"/>
          <w:b/>
        </w:rPr>
        <w:t xml:space="preserve">   Z RIADNEHO ZASADNUTIA SPRÁVNEJ RADY TASR </w:t>
      </w:r>
    </w:p>
    <w:p w:rsidR="00FB14CD" w:rsidRPr="003D563B" w:rsidRDefault="00FB14CD" w:rsidP="00FB14CD">
      <w:pPr>
        <w:tabs>
          <w:tab w:val="left" w:pos="6330"/>
        </w:tabs>
        <w:rPr>
          <w:rFonts w:asciiTheme="minorHAnsi" w:hAnsiTheme="minorHAnsi" w:cstheme="minorHAnsi"/>
          <w:b/>
        </w:rPr>
      </w:pPr>
      <w:r w:rsidRPr="003D563B">
        <w:rPr>
          <w:rFonts w:asciiTheme="minorHAnsi" w:hAnsiTheme="minorHAnsi" w:cstheme="minorHAnsi"/>
          <w:b/>
        </w:rPr>
        <w:t xml:space="preserve">                                      </w:t>
      </w:r>
      <w:r>
        <w:rPr>
          <w:rFonts w:asciiTheme="minorHAnsi" w:hAnsiTheme="minorHAnsi" w:cstheme="minorHAnsi"/>
          <w:b/>
        </w:rPr>
        <w:t xml:space="preserve">              26. septembra </w:t>
      </w:r>
      <w:r w:rsidRPr="003D563B">
        <w:rPr>
          <w:rFonts w:asciiTheme="minorHAnsi" w:hAnsiTheme="minorHAnsi" w:cstheme="minorHAnsi"/>
          <w:b/>
        </w:rPr>
        <w:t xml:space="preserve"> 202</w:t>
      </w:r>
      <w:r>
        <w:rPr>
          <w:rFonts w:asciiTheme="minorHAnsi" w:hAnsiTheme="minorHAnsi" w:cstheme="minorHAnsi"/>
          <w:b/>
        </w:rPr>
        <w:t>3</w:t>
      </w:r>
      <w:r w:rsidRPr="003D563B">
        <w:rPr>
          <w:rFonts w:asciiTheme="minorHAnsi" w:hAnsiTheme="minorHAnsi" w:cstheme="minorHAnsi"/>
          <w:b/>
        </w:rPr>
        <w:t xml:space="preserve"> so začiatkom o 15.00 h</w:t>
      </w:r>
    </w:p>
    <w:p w:rsidR="00FB14CD" w:rsidRPr="003D563B" w:rsidRDefault="00FB14CD" w:rsidP="00FB14CD">
      <w:pPr>
        <w:tabs>
          <w:tab w:val="left" w:pos="6330"/>
        </w:tabs>
        <w:rPr>
          <w:rFonts w:asciiTheme="minorHAnsi" w:hAnsiTheme="minorHAnsi" w:cstheme="minorHAnsi"/>
          <w:b/>
        </w:rPr>
      </w:pPr>
    </w:p>
    <w:p w:rsidR="00FB14CD" w:rsidRPr="003D563B" w:rsidRDefault="00FB14CD" w:rsidP="00FB14CD">
      <w:pPr>
        <w:rPr>
          <w:rFonts w:asciiTheme="minorHAnsi" w:hAnsiTheme="minorHAnsi" w:cstheme="minorHAnsi"/>
        </w:rPr>
      </w:pPr>
      <w:r w:rsidRPr="003D563B">
        <w:rPr>
          <w:rFonts w:asciiTheme="minorHAnsi" w:hAnsiTheme="minorHAnsi" w:cstheme="minorHAnsi"/>
          <w:b/>
        </w:rPr>
        <w:t xml:space="preserve">Prítomní členovia Správnej rady: </w:t>
      </w:r>
      <w:r>
        <w:rPr>
          <w:rFonts w:asciiTheme="minorHAnsi" w:hAnsiTheme="minorHAnsi" w:cstheme="minorHAnsi"/>
        </w:rPr>
        <w:t>Jozef Bednár,</w:t>
      </w:r>
      <w:r w:rsidRPr="00FB14CD">
        <w:rPr>
          <w:rFonts w:asciiTheme="minorHAnsi" w:hAnsiTheme="minorHAnsi" w:cstheme="minorHAnsi"/>
        </w:rPr>
        <w:t xml:space="preserve"> </w:t>
      </w:r>
      <w:r>
        <w:rPr>
          <w:rFonts w:asciiTheme="minorHAnsi" w:hAnsiTheme="minorHAnsi" w:cstheme="minorHAnsi"/>
        </w:rPr>
        <w:t xml:space="preserve">Peter Mestický, </w:t>
      </w:r>
      <w:r w:rsidRPr="003D563B">
        <w:rPr>
          <w:rFonts w:asciiTheme="minorHAnsi" w:hAnsiTheme="minorHAnsi" w:cstheme="minorHAnsi"/>
        </w:rPr>
        <w:t>Alena Mezeiová</w:t>
      </w:r>
      <w:r>
        <w:rPr>
          <w:rFonts w:asciiTheme="minorHAnsi" w:hAnsiTheme="minorHAnsi" w:cstheme="minorHAnsi"/>
        </w:rPr>
        <w:t>, Ladislav Mikuš</w:t>
      </w:r>
      <w:r>
        <w:rPr>
          <w:rFonts w:asciiTheme="minorHAnsi" w:hAnsiTheme="minorHAnsi" w:cstheme="minorHAnsi"/>
          <w:b/>
        </w:rPr>
        <w:t xml:space="preserve"> </w:t>
      </w:r>
      <w:r>
        <w:rPr>
          <w:rFonts w:asciiTheme="minorHAnsi" w:hAnsiTheme="minorHAnsi" w:cstheme="minorHAnsi"/>
        </w:rPr>
        <w:t>, Jozef Tuhovčák</w:t>
      </w:r>
    </w:p>
    <w:p w:rsidR="00FB14CD" w:rsidRPr="00DD610E" w:rsidRDefault="00FB14CD" w:rsidP="00FB14CD">
      <w:pPr>
        <w:rPr>
          <w:rFonts w:asciiTheme="minorHAnsi" w:hAnsiTheme="minorHAnsi" w:cstheme="minorHAnsi"/>
        </w:rPr>
      </w:pPr>
      <w:r w:rsidRPr="003D563B">
        <w:rPr>
          <w:rFonts w:asciiTheme="minorHAnsi" w:hAnsiTheme="minorHAnsi" w:cstheme="minorHAnsi"/>
          <w:b/>
        </w:rPr>
        <w:t>Ospravedlnení</w:t>
      </w:r>
      <w:r>
        <w:rPr>
          <w:rFonts w:asciiTheme="minorHAnsi" w:hAnsiTheme="minorHAnsi" w:cstheme="minorHAnsi"/>
          <w:b/>
        </w:rPr>
        <w:t xml:space="preserve">:   </w:t>
      </w:r>
      <w:r>
        <w:rPr>
          <w:rFonts w:asciiTheme="minorHAnsi" w:hAnsiTheme="minorHAnsi" w:cstheme="minorHAnsi"/>
        </w:rPr>
        <w:t xml:space="preserve">- </w:t>
      </w:r>
    </w:p>
    <w:p w:rsidR="00FB14CD" w:rsidRPr="003D563B" w:rsidRDefault="00FB14CD" w:rsidP="00FB14CD">
      <w:pPr>
        <w:rPr>
          <w:rFonts w:asciiTheme="minorHAnsi" w:hAnsiTheme="minorHAnsi" w:cstheme="minorHAnsi"/>
        </w:rPr>
      </w:pPr>
      <w:r w:rsidRPr="003D563B">
        <w:rPr>
          <w:rFonts w:asciiTheme="minorHAnsi" w:hAnsiTheme="minorHAnsi" w:cstheme="minorHAnsi"/>
          <w:b/>
        </w:rPr>
        <w:t xml:space="preserve">Hostia: </w:t>
      </w:r>
      <w:r w:rsidRPr="003D563B">
        <w:rPr>
          <w:rFonts w:asciiTheme="minorHAnsi" w:hAnsiTheme="minorHAnsi" w:cstheme="minorHAnsi"/>
        </w:rPr>
        <w:t>Vladimír Puchala, generálny riaditeľ TASR</w:t>
      </w:r>
    </w:p>
    <w:p w:rsidR="00FB14CD" w:rsidRPr="003D563B" w:rsidRDefault="00FB14CD" w:rsidP="00FB14CD">
      <w:pPr>
        <w:rPr>
          <w:rFonts w:asciiTheme="minorHAnsi" w:hAnsiTheme="minorHAnsi" w:cstheme="minorHAnsi"/>
        </w:rPr>
      </w:pPr>
      <w:r w:rsidRPr="003D563B">
        <w:rPr>
          <w:rFonts w:asciiTheme="minorHAnsi" w:hAnsiTheme="minorHAnsi" w:cstheme="minorHAnsi"/>
          <w:b/>
        </w:rPr>
        <w:t xml:space="preserve">Miesto konania: </w:t>
      </w:r>
      <w:r w:rsidRPr="003D563B">
        <w:rPr>
          <w:rFonts w:asciiTheme="minorHAnsi" w:hAnsiTheme="minorHAnsi" w:cstheme="minorHAnsi"/>
        </w:rPr>
        <w:t>TASR, Dúbravská cesta 14, Bratislava</w:t>
      </w:r>
    </w:p>
    <w:p w:rsidR="00FB14CD" w:rsidRPr="003D563B" w:rsidRDefault="00FB14CD" w:rsidP="00FB14CD">
      <w:pPr>
        <w:rPr>
          <w:rFonts w:asciiTheme="minorHAnsi" w:hAnsiTheme="minorHAnsi" w:cstheme="minorHAnsi"/>
          <w:b/>
        </w:rPr>
      </w:pPr>
      <w:r w:rsidRPr="003D563B">
        <w:rPr>
          <w:rFonts w:asciiTheme="minorHAnsi" w:hAnsiTheme="minorHAnsi" w:cstheme="minorHAnsi"/>
          <w:b/>
        </w:rPr>
        <w:t>--------------------------------------------------------------------------------------------------------------------------------------</w:t>
      </w:r>
    </w:p>
    <w:p w:rsidR="00FB14CD" w:rsidRDefault="00FB14CD" w:rsidP="00FB14CD">
      <w:pPr>
        <w:rPr>
          <w:rFonts w:asciiTheme="minorHAnsi" w:hAnsiTheme="minorHAnsi" w:cstheme="minorHAnsi"/>
        </w:rPr>
      </w:pPr>
      <w:r w:rsidRPr="003D563B">
        <w:rPr>
          <w:rFonts w:asciiTheme="minorHAnsi" w:hAnsiTheme="minorHAnsi" w:cstheme="minorHAnsi"/>
        </w:rPr>
        <w:t>Rokovanie v zmysle čl. 3, 5, ods. 1 a čl. 9 ods. 6 Roko</w:t>
      </w:r>
      <w:r>
        <w:rPr>
          <w:rFonts w:asciiTheme="minorHAnsi" w:hAnsiTheme="minorHAnsi" w:cstheme="minorHAnsi"/>
        </w:rPr>
        <w:t>vacieho poriadku SR TASR viedla predsedníčka</w:t>
      </w:r>
      <w:r w:rsidRPr="003D563B">
        <w:rPr>
          <w:rFonts w:asciiTheme="minorHAnsi" w:hAnsiTheme="minorHAnsi" w:cstheme="minorHAnsi"/>
        </w:rPr>
        <w:t xml:space="preserve"> SR TASR </w:t>
      </w:r>
      <w:r>
        <w:rPr>
          <w:rFonts w:asciiTheme="minorHAnsi" w:hAnsiTheme="minorHAnsi" w:cstheme="minorHAnsi"/>
        </w:rPr>
        <w:t>Alena Mezeiová</w:t>
      </w:r>
      <w:r w:rsidRPr="003D563B">
        <w:rPr>
          <w:rFonts w:asciiTheme="minorHAnsi" w:hAnsiTheme="minorHAnsi" w:cstheme="minorHAnsi"/>
        </w:rPr>
        <w:t>. Konštatova</w:t>
      </w:r>
      <w:r>
        <w:rPr>
          <w:rFonts w:asciiTheme="minorHAnsi" w:hAnsiTheme="minorHAnsi" w:cstheme="minorHAnsi"/>
        </w:rPr>
        <w:t>la</w:t>
      </w:r>
      <w:r w:rsidRPr="003D563B">
        <w:rPr>
          <w:rFonts w:asciiTheme="minorHAnsi" w:hAnsiTheme="minorHAnsi" w:cstheme="minorHAnsi"/>
        </w:rPr>
        <w:t xml:space="preserve">, že </w:t>
      </w:r>
      <w:r>
        <w:rPr>
          <w:rFonts w:asciiTheme="minorHAnsi" w:hAnsiTheme="minorHAnsi" w:cstheme="minorHAnsi"/>
        </w:rPr>
        <w:t xml:space="preserve">rada je uznášaniaschopná, navrhla program zasadnutia a dala </w:t>
      </w:r>
      <w:r w:rsidRPr="003D563B">
        <w:rPr>
          <w:rFonts w:asciiTheme="minorHAnsi" w:hAnsiTheme="minorHAnsi" w:cstheme="minorHAnsi"/>
        </w:rPr>
        <w:t>o ňom hlasovať.</w:t>
      </w:r>
    </w:p>
    <w:p w:rsidR="00FB14CD" w:rsidRDefault="00FB14CD" w:rsidP="00FB14CD">
      <w:pPr>
        <w:rPr>
          <w:rFonts w:asciiTheme="minorHAnsi" w:hAnsiTheme="minorHAnsi" w:cstheme="minorHAnsi"/>
        </w:rPr>
      </w:pPr>
      <w:r>
        <w:rPr>
          <w:rFonts w:asciiTheme="minorHAnsi" w:hAnsiTheme="minorHAnsi" w:cstheme="minorHAnsi"/>
        </w:rPr>
        <w:t>Program:</w:t>
      </w:r>
    </w:p>
    <w:p w:rsidR="00FB14CD" w:rsidRPr="00C66BD2" w:rsidRDefault="00FB14CD" w:rsidP="00FB14CD">
      <w:pPr>
        <w:numPr>
          <w:ilvl w:val="0"/>
          <w:numId w:val="1"/>
        </w:numPr>
        <w:spacing w:after="0" w:line="240" w:lineRule="auto"/>
        <w:rPr>
          <w:rFonts w:asciiTheme="minorHAnsi" w:hAnsiTheme="minorHAnsi" w:cstheme="minorHAnsi"/>
          <w:b/>
          <w:szCs w:val="24"/>
        </w:rPr>
      </w:pPr>
      <w:r w:rsidRPr="00C66BD2">
        <w:rPr>
          <w:rFonts w:asciiTheme="minorHAnsi" w:hAnsiTheme="minorHAnsi" w:cstheme="minorHAnsi"/>
          <w:b/>
          <w:szCs w:val="24"/>
        </w:rPr>
        <w:t>Vyjadrenie Protimonopolného úradu Slovenskej republiky k zmene financovania TASR od roku 2024</w:t>
      </w:r>
    </w:p>
    <w:p w:rsidR="00FB14CD" w:rsidRPr="00C66BD2" w:rsidRDefault="00FB14CD" w:rsidP="00FB14CD">
      <w:pPr>
        <w:numPr>
          <w:ilvl w:val="0"/>
          <w:numId w:val="1"/>
        </w:numPr>
        <w:spacing w:before="100" w:beforeAutospacing="1" w:after="100" w:afterAutospacing="1" w:line="240" w:lineRule="auto"/>
        <w:jc w:val="both"/>
        <w:rPr>
          <w:rFonts w:asciiTheme="minorHAnsi" w:hAnsiTheme="minorHAnsi" w:cstheme="minorHAnsi"/>
          <w:b/>
          <w:szCs w:val="24"/>
        </w:rPr>
      </w:pPr>
      <w:r w:rsidRPr="00C66BD2">
        <w:rPr>
          <w:rFonts w:asciiTheme="minorHAnsi" w:hAnsiTheme="minorHAnsi" w:cstheme="minorHAnsi"/>
          <w:b/>
          <w:szCs w:val="24"/>
        </w:rPr>
        <w:t>Metodika pre výpočet výšky náhrady a kontrolu nadmernej náhrady za služby vo verejnom záujme</w:t>
      </w:r>
    </w:p>
    <w:p w:rsidR="00FB14CD" w:rsidRPr="00C66BD2" w:rsidRDefault="00FB14CD" w:rsidP="00FB14CD">
      <w:pPr>
        <w:numPr>
          <w:ilvl w:val="0"/>
          <w:numId w:val="1"/>
        </w:numPr>
        <w:spacing w:before="100" w:beforeAutospacing="1" w:after="100" w:afterAutospacing="1" w:line="240" w:lineRule="auto"/>
        <w:jc w:val="both"/>
        <w:rPr>
          <w:rFonts w:asciiTheme="minorHAnsi" w:hAnsiTheme="minorHAnsi" w:cstheme="minorHAnsi"/>
          <w:b/>
          <w:szCs w:val="24"/>
        </w:rPr>
      </w:pPr>
      <w:r w:rsidRPr="00C66BD2">
        <w:rPr>
          <w:rFonts w:asciiTheme="minorHAnsi" w:hAnsiTheme="minorHAnsi" w:cstheme="minorHAnsi"/>
          <w:b/>
          <w:szCs w:val="24"/>
        </w:rPr>
        <w:t>Rôzne</w:t>
      </w:r>
    </w:p>
    <w:p w:rsidR="00FB14CD" w:rsidRPr="002C73AB" w:rsidRDefault="00FB14CD" w:rsidP="00FB14CD">
      <w:pPr>
        <w:spacing w:before="100" w:beforeAutospacing="1" w:after="100" w:afterAutospacing="1"/>
        <w:jc w:val="both"/>
        <w:rPr>
          <w:rFonts w:ascii="Arial" w:hAnsi="Arial" w:cs="Arial"/>
          <w:szCs w:val="24"/>
        </w:rPr>
      </w:pPr>
    </w:p>
    <w:p w:rsidR="00FB14CD" w:rsidRPr="001C5CCC" w:rsidRDefault="00FB14CD" w:rsidP="00FB14CD">
      <w:pPr>
        <w:tabs>
          <w:tab w:val="left" w:pos="567"/>
        </w:tabs>
        <w:rPr>
          <w:rFonts w:asciiTheme="minorHAnsi" w:hAnsiTheme="minorHAnsi" w:cstheme="minorHAnsi"/>
          <w:b/>
        </w:rPr>
      </w:pPr>
      <w:r>
        <w:rPr>
          <w:rFonts w:asciiTheme="minorHAnsi" w:hAnsiTheme="minorHAnsi" w:cstheme="minorHAnsi"/>
          <w:b/>
        </w:rPr>
        <w:t>UZNESENIE č. 01/26</w:t>
      </w:r>
      <w:r w:rsidRPr="001C5CCC">
        <w:rPr>
          <w:rFonts w:asciiTheme="minorHAnsi" w:hAnsiTheme="minorHAnsi" w:cstheme="minorHAnsi"/>
          <w:b/>
        </w:rPr>
        <w:t>/0</w:t>
      </w:r>
      <w:r>
        <w:rPr>
          <w:rFonts w:asciiTheme="minorHAnsi" w:hAnsiTheme="minorHAnsi" w:cstheme="minorHAnsi"/>
          <w:b/>
        </w:rPr>
        <w:t>9</w:t>
      </w:r>
      <w:r w:rsidRPr="001C5CCC">
        <w:rPr>
          <w:rFonts w:asciiTheme="minorHAnsi" w:hAnsiTheme="minorHAnsi" w:cstheme="minorHAnsi"/>
          <w:b/>
        </w:rPr>
        <w:t>/2023:</w:t>
      </w:r>
    </w:p>
    <w:p w:rsidR="00FB14CD" w:rsidRPr="001C5CCC" w:rsidRDefault="00FB14CD" w:rsidP="00FB14CD">
      <w:pPr>
        <w:rPr>
          <w:rFonts w:asciiTheme="minorHAnsi" w:hAnsiTheme="minorHAnsi" w:cstheme="minorHAnsi"/>
        </w:rPr>
      </w:pPr>
      <w:r w:rsidRPr="001C5CCC">
        <w:rPr>
          <w:rFonts w:asciiTheme="minorHAnsi" w:hAnsiTheme="minorHAnsi" w:cstheme="minorHAnsi"/>
        </w:rPr>
        <w:lastRenderedPageBreak/>
        <w:t>Členovia SR TASR schválili program zasadnutia:</w:t>
      </w:r>
    </w:p>
    <w:p w:rsidR="00FB14CD" w:rsidRPr="001C5CCC" w:rsidRDefault="00FB14CD" w:rsidP="00FB14CD">
      <w:pPr>
        <w:tabs>
          <w:tab w:val="left" w:pos="567"/>
        </w:tabs>
        <w:ind w:left="360"/>
        <w:rPr>
          <w:rFonts w:asciiTheme="minorHAnsi" w:hAnsiTheme="minorHAnsi" w:cstheme="minorHAnsi"/>
        </w:rPr>
      </w:pPr>
      <w:r w:rsidRPr="001C5CCC">
        <w:rPr>
          <w:rFonts w:asciiTheme="minorHAnsi" w:hAnsiTheme="minorHAnsi" w:cstheme="minorHAnsi"/>
        </w:rPr>
        <w:t>ZA:                                        PROTI: 0                                    ZDRŽAL SA: 0</w:t>
      </w:r>
    </w:p>
    <w:p w:rsidR="00FB14CD" w:rsidRPr="001C5CCC" w:rsidRDefault="00FB14CD" w:rsidP="00FB14CD">
      <w:pPr>
        <w:tabs>
          <w:tab w:val="left" w:pos="567"/>
        </w:tabs>
        <w:ind w:left="360"/>
        <w:rPr>
          <w:rFonts w:asciiTheme="minorHAnsi" w:hAnsiTheme="minorHAnsi" w:cstheme="minorHAnsi"/>
        </w:rPr>
      </w:pPr>
      <w:r w:rsidRPr="001C5CCC">
        <w:rPr>
          <w:rFonts w:asciiTheme="minorHAnsi" w:hAnsiTheme="minorHAnsi" w:cstheme="minorHAnsi"/>
        </w:rPr>
        <w:t xml:space="preserve">J. </w:t>
      </w:r>
      <w:r>
        <w:rPr>
          <w:rFonts w:asciiTheme="minorHAnsi" w:hAnsiTheme="minorHAnsi" w:cstheme="minorHAnsi"/>
        </w:rPr>
        <w:t>Bednár</w:t>
      </w:r>
    </w:p>
    <w:p w:rsidR="00FB14CD" w:rsidRPr="001C5CCC" w:rsidRDefault="00FB14CD" w:rsidP="00FB14CD">
      <w:pPr>
        <w:tabs>
          <w:tab w:val="left" w:pos="567"/>
        </w:tabs>
        <w:ind w:left="360"/>
        <w:rPr>
          <w:rFonts w:asciiTheme="minorHAnsi" w:hAnsiTheme="minorHAnsi" w:cstheme="minorHAnsi"/>
        </w:rPr>
      </w:pPr>
      <w:r>
        <w:rPr>
          <w:rFonts w:asciiTheme="minorHAnsi" w:hAnsiTheme="minorHAnsi" w:cstheme="minorHAnsi"/>
        </w:rPr>
        <w:t xml:space="preserve"> </w:t>
      </w:r>
      <w:r w:rsidRPr="001C5CCC">
        <w:rPr>
          <w:rFonts w:asciiTheme="minorHAnsi" w:hAnsiTheme="minorHAnsi" w:cstheme="minorHAnsi"/>
        </w:rPr>
        <w:t>P. Mestický</w:t>
      </w:r>
    </w:p>
    <w:p w:rsidR="00FB14CD" w:rsidRPr="001C5CCC" w:rsidRDefault="00FB14CD" w:rsidP="00FB14CD">
      <w:pPr>
        <w:tabs>
          <w:tab w:val="left" w:pos="567"/>
        </w:tabs>
        <w:ind w:left="360"/>
        <w:rPr>
          <w:rFonts w:asciiTheme="minorHAnsi" w:hAnsiTheme="minorHAnsi" w:cstheme="minorHAnsi"/>
        </w:rPr>
      </w:pPr>
      <w:r w:rsidRPr="001C5CCC">
        <w:rPr>
          <w:rFonts w:asciiTheme="minorHAnsi" w:hAnsiTheme="minorHAnsi" w:cstheme="minorHAnsi"/>
        </w:rPr>
        <w:t xml:space="preserve"> A. Mezeiová</w:t>
      </w:r>
    </w:p>
    <w:p w:rsidR="00FB14CD" w:rsidRDefault="00FB14CD" w:rsidP="00FB14CD">
      <w:pPr>
        <w:tabs>
          <w:tab w:val="left" w:pos="567"/>
        </w:tabs>
        <w:rPr>
          <w:rFonts w:asciiTheme="minorHAnsi" w:hAnsiTheme="minorHAnsi" w:cstheme="minorHAnsi"/>
        </w:rPr>
      </w:pPr>
      <w:r>
        <w:rPr>
          <w:rFonts w:asciiTheme="minorHAnsi" w:hAnsiTheme="minorHAnsi" w:cstheme="minorHAnsi"/>
        </w:rPr>
        <w:t xml:space="preserve">        </w:t>
      </w:r>
      <w:r w:rsidRPr="001C5CCC">
        <w:rPr>
          <w:rFonts w:asciiTheme="minorHAnsi" w:hAnsiTheme="minorHAnsi" w:cstheme="minorHAnsi"/>
        </w:rPr>
        <w:t>L. Mikuš</w:t>
      </w:r>
    </w:p>
    <w:p w:rsidR="00FB14CD" w:rsidRPr="001C5CCC" w:rsidRDefault="00FB14CD" w:rsidP="00FB14CD">
      <w:pPr>
        <w:tabs>
          <w:tab w:val="left" w:pos="567"/>
        </w:tabs>
        <w:ind w:left="360"/>
        <w:rPr>
          <w:rFonts w:asciiTheme="minorHAnsi" w:hAnsiTheme="minorHAnsi" w:cstheme="minorHAnsi"/>
        </w:rPr>
      </w:pPr>
      <w:r>
        <w:rPr>
          <w:rFonts w:asciiTheme="minorHAnsi" w:hAnsiTheme="minorHAnsi" w:cstheme="minorHAnsi"/>
        </w:rPr>
        <w:t xml:space="preserve"> J. Tuhovčák</w:t>
      </w:r>
    </w:p>
    <w:p w:rsidR="00FB14CD" w:rsidRPr="001C5CCC" w:rsidRDefault="00FB14CD" w:rsidP="00FB14CD">
      <w:pPr>
        <w:tabs>
          <w:tab w:val="left" w:pos="567"/>
        </w:tabs>
        <w:ind w:left="360"/>
        <w:rPr>
          <w:rFonts w:asciiTheme="minorHAnsi" w:hAnsiTheme="minorHAnsi" w:cstheme="minorHAnsi"/>
        </w:rPr>
      </w:pPr>
    </w:p>
    <w:p w:rsidR="00FB14CD" w:rsidRPr="001C5CCC" w:rsidRDefault="00FB14CD" w:rsidP="00FB14CD">
      <w:pPr>
        <w:pBdr>
          <w:bottom w:val="single" w:sz="6" w:space="1" w:color="auto"/>
        </w:pBdr>
        <w:tabs>
          <w:tab w:val="left" w:pos="567"/>
        </w:tabs>
        <w:ind w:left="360"/>
        <w:rPr>
          <w:rFonts w:asciiTheme="minorHAnsi" w:hAnsiTheme="minorHAnsi" w:cstheme="minorHAnsi"/>
          <w:b/>
        </w:rPr>
      </w:pPr>
      <w:r w:rsidRPr="001C5CCC">
        <w:rPr>
          <w:rFonts w:asciiTheme="minorHAnsi" w:hAnsiTheme="minorHAnsi" w:cstheme="minorHAnsi"/>
          <w:b/>
        </w:rPr>
        <w:t>Uznesenie bolo prijaté.</w:t>
      </w:r>
    </w:p>
    <w:p w:rsidR="006216AC" w:rsidRPr="00B7513C" w:rsidRDefault="00FB14CD" w:rsidP="00FB14CD">
      <w:pPr>
        <w:pStyle w:val="Odsekzoznamu"/>
        <w:numPr>
          <w:ilvl w:val="0"/>
          <w:numId w:val="3"/>
        </w:numPr>
        <w:rPr>
          <w:rFonts w:asciiTheme="minorHAnsi" w:hAnsiTheme="minorHAnsi" w:cstheme="minorHAnsi"/>
        </w:rPr>
      </w:pPr>
      <w:r w:rsidRPr="00B7513C">
        <w:rPr>
          <w:rFonts w:asciiTheme="minorHAnsi" w:hAnsiTheme="minorHAnsi" w:cstheme="minorHAnsi"/>
          <w:b/>
          <w:szCs w:val="24"/>
        </w:rPr>
        <w:t>Vyjadrenie Protimonopolného úradu Slovenskej republiky k zmene financovania TASR od roku 2024</w:t>
      </w:r>
    </w:p>
    <w:p w:rsidR="00AE00ED" w:rsidRDefault="00AE00ED" w:rsidP="00FB14CD">
      <w:pPr>
        <w:ind w:left="360"/>
        <w:rPr>
          <w:rFonts w:asciiTheme="minorHAnsi" w:hAnsiTheme="minorHAnsi" w:cstheme="minorHAnsi"/>
        </w:rPr>
      </w:pPr>
      <w:r>
        <w:rPr>
          <w:rFonts w:asciiTheme="minorHAnsi" w:hAnsiTheme="minorHAnsi" w:cstheme="minorHAnsi"/>
        </w:rPr>
        <w:t xml:space="preserve">TASR v spolupráci s MK SR požiadalo Protimonopolný úrad SR ako koordinátora pomoci o stanovisko v súvislosti s novou legislatívou upravujúcou financovanie služieb vo verejnom záujme vykonávaných TASR zo štátneho rozpočtu od januára 2024. </w:t>
      </w:r>
    </w:p>
    <w:p w:rsidR="00AE00ED" w:rsidRDefault="00AE00ED" w:rsidP="00FB14CD">
      <w:pPr>
        <w:ind w:left="360"/>
        <w:rPr>
          <w:rFonts w:asciiTheme="minorHAnsi" w:hAnsiTheme="minorHAnsi" w:cstheme="minorHAnsi"/>
        </w:rPr>
      </w:pPr>
      <w:r>
        <w:rPr>
          <w:rFonts w:asciiTheme="minorHAnsi" w:hAnsiTheme="minorHAnsi" w:cstheme="minorHAnsi"/>
        </w:rPr>
        <w:t xml:space="preserve">Žiadosť vychádzala zo skutočnosti, že dňa 20. júna 2023 schválila NR SR zákon č. 242/2023 Z. z., ktorým sa mení a dopĺňa zákon č. 532/2010 o Rozhlase a televízii Slovenska. Článok III. Zákona č. 242/2023 novelizuje zákon č. 358/2008 o TASR a o zmene niektorých zákonov. </w:t>
      </w:r>
    </w:p>
    <w:p w:rsidR="00AE00ED" w:rsidRDefault="00AE00ED" w:rsidP="00FB14CD">
      <w:pPr>
        <w:ind w:left="360"/>
        <w:rPr>
          <w:rFonts w:asciiTheme="minorHAnsi" w:hAnsiTheme="minorHAnsi" w:cstheme="minorHAnsi"/>
        </w:rPr>
      </w:pPr>
      <w:r>
        <w:rPr>
          <w:rFonts w:asciiTheme="minorHAnsi" w:hAnsiTheme="minorHAnsi" w:cstheme="minorHAnsi"/>
        </w:rPr>
        <w:t>Z hľadiska štátnej pomoci právnym základom poskytovania príspevkov pre TASR zo štátneho rozpočtu je Rozhodnutie Komisie  č. 2012/21/EÚ z 20. decembra 2011 o uplat</w:t>
      </w:r>
      <w:r w:rsidR="00FF049E">
        <w:rPr>
          <w:rFonts w:asciiTheme="minorHAnsi" w:hAnsiTheme="minorHAnsi" w:cstheme="minorHAnsi"/>
        </w:rPr>
        <w:t>ň</w:t>
      </w:r>
      <w:r>
        <w:rPr>
          <w:rFonts w:asciiTheme="minorHAnsi" w:hAnsiTheme="minorHAnsi" w:cstheme="minorHAnsi"/>
        </w:rPr>
        <w:t>ovaní článku 106 ods. 2 Zmluvy o fungovaní EÚ</w:t>
      </w:r>
      <w:r w:rsidR="00FF049E">
        <w:rPr>
          <w:rFonts w:asciiTheme="minorHAnsi" w:hAnsiTheme="minorHAnsi" w:cstheme="minorHAnsi"/>
        </w:rPr>
        <w:t xml:space="preserve"> na štátnu pomoc vo forme náhrady za služby vo verejnom záujme udeľovanej niektorým podnikom povereným poskytovaním služieb všeobecného hospodárskeho záujmu. </w:t>
      </w:r>
    </w:p>
    <w:p w:rsidR="00FF049E" w:rsidRDefault="00FF049E" w:rsidP="00FB14CD">
      <w:pPr>
        <w:ind w:left="360"/>
        <w:rPr>
          <w:rFonts w:asciiTheme="minorHAnsi" w:hAnsiTheme="minorHAnsi" w:cstheme="minorHAnsi"/>
        </w:rPr>
      </w:pPr>
      <w:r>
        <w:rPr>
          <w:rFonts w:asciiTheme="minorHAnsi" w:hAnsiTheme="minorHAnsi" w:cstheme="minorHAnsi"/>
        </w:rPr>
        <w:lastRenderedPageBreak/>
        <w:t xml:space="preserve">Náhrada poskytovaná TASR, podľa zákona o TASR, spadá do kategórie podľa článku 2, ods. 1, písm. a) rozhodnutia 2012/21/EÚ ako náhrada za poskytovanie služieb všeobecného hospodárskeho charakteru v oblastiach iných ako doprava a dopravná infraštruktúra. </w:t>
      </w:r>
    </w:p>
    <w:p w:rsidR="00FF049E" w:rsidRDefault="00FF049E" w:rsidP="00FB14CD">
      <w:pPr>
        <w:ind w:left="360"/>
        <w:rPr>
          <w:rFonts w:asciiTheme="minorHAnsi" w:hAnsiTheme="minorHAnsi" w:cstheme="minorHAnsi"/>
        </w:rPr>
      </w:pPr>
      <w:r>
        <w:rPr>
          <w:rFonts w:asciiTheme="minorHAnsi" w:hAnsiTheme="minorHAnsi" w:cstheme="minorHAnsi"/>
        </w:rPr>
        <w:t xml:space="preserve">V zmysle novely zákona o TASR zmena zákona spočíva v modifikácii financovania TASR tak, že doterajší príspevok zo štátneho rozpočtu na príslušný rok, určený na poskytovanie služieb vo verejnom záujme na základe zmluvy o poskytovaní služieb vo verejnom záujme a na kapitálové výdavky na uskutočnenie účelových investičných prostriedkov vo verejnom záujme, sa zrušujú a nahrádzajú nárokovateľným príspevkom  zo štátneho rozpočtu v zmysle par. 6, ods. 1, písm. b) a par. 6a novely zákona o TASR. </w:t>
      </w:r>
    </w:p>
    <w:p w:rsidR="00DF2427" w:rsidRDefault="00FF049E" w:rsidP="00FB14CD">
      <w:pPr>
        <w:ind w:left="360"/>
        <w:rPr>
          <w:rFonts w:asciiTheme="minorHAnsi" w:hAnsiTheme="minorHAnsi" w:cstheme="minorHAnsi"/>
        </w:rPr>
      </w:pPr>
      <w:r>
        <w:rPr>
          <w:rFonts w:asciiTheme="minorHAnsi" w:hAnsiTheme="minorHAnsi" w:cstheme="minorHAnsi"/>
        </w:rPr>
        <w:t xml:space="preserve">Protimonopolný úrad </w:t>
      </w:r>
      <w:r w:rsidR="00584246">
        <w:rPr>
          <w:rFonts w:asciiTheme="minorHAnsi" w:hAnsiTheme="minorHAnsi" w:cstheme="minorHAnsi"/>
        </w:rPr>
        <w:t xml:space="preserve">v svojom vyjadrení k zmene financovania TASR </w:t>
      </w:r>
      <w:r>
        <w:rPr>
          <w:rFonts w:asciiTheme="minorHAnsi" w:hAnsiTheme="minorHAnsi" w:cstheme="minorHAnsi"/>
        </w:rPr>
        <w:t xml:space="preserve">uvádza, že </w:t>
      </w:r>
      <w:r w:rsidR="00584246">
        <w:rPr>
          <w:rFonts w:asciiTheme="minorHAnsi" w:hAnsiTheme="minorHAnsi" w:cstheme="minorHAnsi"/>
        </w:rPr>
        <w:t xml:space="preserve">v </w:t>
      </w:r>
      <w:r w:rsidR="00DF2427">
        <w:rPr>
          <w:rFonts w:asciiTheme="minorHAnsi" w:hAnsiTheme="minorHAnsi" w:cstheme="minorHAnsi"/>
        </w:rPr>
        <w:t xml:space="preserve">prípade poskytovania nárokovateľného príspevku pre TASR podľa novely zákona o TASR je uplatniteľný postup v súlade s rozhodnutím 2012/21/EÚ  bez potreby notifikácie zmeny financovania TASR Európskej komisii. </w:t>
      </w:r>
    </w:p>
    <w:p w:rsidR="00FB14CD" w:rsidRDefault="00DF2427" w:rsidP="00DF2427">
      <w:pPr>
        <w:rPr>
          <w:rFonts w:asciiTheme="minorHAnsi" w:hAnsiTheme="minorHAnsi" w:cstheme="minorHAnsi"/>
          <w:color w:val="000000"/>
          <w:shd w:val="clear" w:color="auto" w:fill="FFFFFF"/>
        </w:rPr>
      </w:pPr>
      <w:r>
        <w:rPr>
          <w:rFonts w:asciiTheme="minorHAnsi" w:hAnsiTheme="minorHAnsi" w:cstheme="minorHAnsi"/>
        </w:rPr>
        <w:t xml:space="preserve">      </w:t>
      </w:r>
      <w:r w:rsidR="00FB14CD">
        <w:rPr>
          <w:rFonts w:asciiTheme="minorHAnsi" w:hAnsiTheme="minorHAnsi" w:cstheme="minorHAnsi"/>
          <w:color w:val="000000"/>
          <w:shd w:val="clear" w:color="auto" w:fill="FFFFFF"/>
        </w:rPr>
        <w:t>PMÚ odporučil TASR v súčinnosti s Ministerstvom kultúry uzavrieť zmluvu so štátom na</w:t>
      </w:r>
      <w:r>
        <w:rPr>
          <w:rFonts w:asciiTheme="minorHAnsi" w:hAnsiTheme="minorHAnsi" w:cstheme="minorHAnsi"/>
          <w:color w:val="000000"/>
          <w:shd w:val="clear" w:color="auto" w:fill="FFFFFF"/>
        </w:rPr>
        <w:t xml:space="preserve"> </w:t>
      </w:r>
      <w:r w:rsidR="00FB14CD">
        <w:rPr>
          <w:rFonts w:asciiTheme="minorHAnsi" w:hAnsiTheme="minorHAnsi" w:cstheme="minorHAnsi"/>
          <w:color w:val="000000"/>
          <w:shd w:val="clear" w:color="auto" w:fill="FFFFFF"/>
        </w:rPr>
        <w:t xml:space="preserve">kvantifikáciu a vyhodnocovanie financovania, ako aj </w:t>
      </w:r>
      <w:r w:rsidR="00584246">
        <w:rPr>
          <w:rFonts w:asciiTheme="minorHAnsi" w:hAnsiTheme="minorHAnsi" w:cstheme="minorHAnsi"/>
          <w:color w:val="000000"/>
          <w:shd w:val="clear" w:color="auto" w:fill="FFFFFF"/>
        </w:rPr>
        <w:t>upraviť</w:t>
      </w:r>
      <w:r w:rsidR="00FB14CD">
        <w:rPr>
          <w:rFonts w:asciiTheme="minorHAnsi" w:hAnsiTheme="minorHAnsi" w:cstheme="minorHAnsi"/>
          <w:color w:val="000000"/>
          <w:shd w:val="clear" w:color="auto" w:fill="FFFFFF"/>
        </w:rPr>
        <w:t xml:space="preserve"> metodiku výpočtu výšky náhrady a kontrolu nadmernej náhrady za služby vo verejnom záujme.</w:t>
      </w:r>
    </w:p>
    <w:p w:rsidR="00FB14CD" w:rsidRDefault="00B7513C" w:rsidP="00FB14CD">
      <w:pPr>
        <w:ind w:left="36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Členovia Správnej rady po krátkej diskusii vzali materiál na vedomie.</w:t>
      </w:r>
    </w:p>
    <w:p w:rsidR="00B7513C" w:rsidRDefault="00B7513C" w:rsidP="00FB14CD">
      <w:pPr>
        <w:ind w:left="36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_______________________________________________________________________________</w:t>
      </w:r>
    </w:p>
    <w:p w:rsidR="00B7513C" w:rsidRPr="00B7513C" w:rsidRDefault="00B7513C" w:rsidP="00B7513C">
      <w:pPr>
        <w:pStyle w:val="Odsekzoznamu"/>
        <w:numPr>
          <w:ilvl w:val="0"/>
          <w:numId w:val="3"/>
        </w:numPr>
        <w:spacing w:before="100" w:beforeAutospacing="1" w:after="100" w:afterAutospacing="1" w:line="240" w:lineRule="auto"/>
        <w:jc w:val="both"/>
        <w:rPr>
          <w:rFonts w:asciiTheme="minorHAnsi" w:hAnsiTheme="minorHAnsi" w:cstheme="minorHAnsi"/>
          <w:b/>
        </w:rPr>
      </w:pPr>
      <w:r w:rsidRPr="00B7513C">
        <w:rPr>
          <w:rFonts w:asciiTheme="minorHAnsi" w:hAnsiTheme="minorHAnsi" w:cstheme="minorHAnsi"/>
          <w:b/>
        </w:rPr>
        <w:t>Metodika pre výpočet výšky náhrady a kontrolu nadmernej náhrady za služby vo verejnom záujme</w:t>
      </w:r>
    </w:p>
    <w:p w:rsidR="00584246" w:rsidRPr="00584246" w:rsidRDefault="00B7513C" w:rsidP="00584246">
      <w:pPr>
        <w:pStyle w:val="Style4"/>
        <w:spacing w:before="43"/>
        <w:rPr>
          <w:rFonts w:cstheme="minorHAnsi"/>
          <w:sz w:val="22"/>
          <w:szCs w:val="22"/>
        </w:rPr>
      </w:pPr>
      <w:r w:rsidRPr="00584246">
        <w:rPr>
          <w:rFonts w:asciiTheme="minorHAnsi" w:hAnsiTheme="minorHAnsi" w:cstheme="minorHAnsi"/>
          <w:sz w:val="22"/>
          <w:szCs w:val="22"/>
        </w:rPr>
        <w:t xml:space="preserve">Podľa V. Puchalu </w:t>
      </w:r>
      <w:r w:rsidR="00584246" w:rsidRPr="00584246">
        <w:rPr>
          <w:rFonts w:cstheme="minorHAnsi"/>
          <w:sz w:val="22"/>
          <w:szCs w:val="22"/>
        </w:rPr>
        <w:t>je Metodika pre výpočet výšky náhrady a kontrolu nadmernej náhrady</w:t>
      </w:r>
    </w:p>
    <w:p w:rsidR="00584246" w:rsidRPr="00584246" w:rsidRDefault="00584246" w:rsidP="00584246">
      <w:pPr>
        <w:pStyle w:val="Style4"/>
        <w:spacing w:before="43"/>
        <w:rPr>
          <w:rFonts w:cstheme="minorHAnsi"/>
          <w:sz w:val="22"/>
          <w:szCs w:val="22"/>
        </w:rPr>
      </w:pPr>
      <w:r w:rsidRPr="00584246">
        <w:rPr>
          <w:rFonts w:cstheme="minorHAnsi"/>
          <w:sz w:val="22"/>
          <w:szCs w:val="22"/>
        </w:rPr>
        <w:t>za služby vo verejnom záujme udelenej podnikom povereným poskytovaním služieb všeobecného</w:t>
      </w:r>
    </w:p>
    <w:p w:rsidR="00584246" w:rsidRPr="00584246" w:rsidRDefault="00584246" w:rsidP="00FC4AA5">
      <w:pPr>
        <w:pStyle w:val="Style4"/>
        <w:spacing w:before="43"/>
        <w:rPr>
          <w:rFonts w:cstheme="minorHAnsi"/>
          <w:sz w:val="22"/>
          <w:szCs w:val="22"/>
        </w:rPr>
      </w:pPr>
      <w:r w:rsidRPr="00584246">
        <w:rPr>
          <w:rFonts w:cstheme="minorHAnsi"/>
          <w:sz w:val="22"/>
          <w:szCs w:val="22"/>
        </w:rPr>
        <w:lastRenderedPageBreak/>
        <w:t>hospodárskeho záujmu</w:t>
      </w:r>
      <w:r w:rsidR="00FC4AA5">
        <w:rPr>
          <w:rFonts w:cstheme="minorHAnsi"/>
          <w:sz w:val="22"/>
          <w:szCs w:val="22"/>
        </w:rPr>
        <w:t xml:space="preserve"> </w:t>
      </w:r>
      <w:r w:rsidRPr="00584246">
        <w:rPr>
          <w:rFonts w:cstheme="minorHAnsi"/>
          <w:sz w:val="22"/>
          <w:szCs w:val="22"/>
        </w:rPr>
        <w:t>vytvorená v súlade s Rozhodnutím Komisie č. K(2011) 9380</w:t>
      </w:r>
      <w:r w:rsidR="00FC4AA5">
        <w:rPr>
          <w:rFonts w:cstheme="minorHAnsi"/>
          <w:sz w:val="22"/>
          <w:szCs w:val="22"/>
        </w:rPr>
        <w:t xml:space="preserve"> </w:t>
      </w:r>
      <w:r w:rsidRPr="00584246">
        <w:rPr>
          <w:rFonts w:cstheme="minorHAnsi"/>
          <w:sz w:val="22"/>
          <w:szCs w:val="22"/>
        </w:rPr>
        <w:t>z 20. decembra</w:t>
      </w:r>
      <w:r w:rsidR="00FC4AA5">
        <w:rPr>
          <w:rFonts w:cstheme="minorHAnsi"/>
          <w:sz w:val="22"/>
          <w:szCs w:val="22"/>
        </w:rPr>
        <w:t xml:space="preserve"> </w:t>
      </w:r>
      <w:r w:rsidRPr="00584246">
        <w:rPr>
          <w:rFonts w:cstheme="minorHAnsi"/>
          <w:sz w:val="22"/>
          <w:szCs w:val="22"/>
        </w:rPr>
        <w:t>2011</w:t>
      </w:r>
      <w:r w:rsidR="00FC4AA5">
        <w:rPr>
          <w:rFonts w:cstheme="minorHAnsi"/>
          <w:sz w:val="22"/>
          <w:szCs w:val="22"/>
        </w:rPr>
        <w:t xml:space="preserve"> </w:t>
      </w:r>
      <w:r w:rsidRPr="00584246">
        <w:rPr>
          <w:rFonts w:cstheme="minorHAnsi"/>
          <w:sz w:val="22"/>
          <w:szCs w:val="22"/>
        </w:rPr>
        <w:t>o uplatňovaní článku 106 ods. 2 Zmluvy o fungovaní Európskej únie na štátnu pomoc vo forme náhrady</w:t>
      </w:r>
      <w:r w:rsidR="00FC4AA5">
        <w:rPr>
          <w:rFonts w:cstheme="minorHAnsi"/>
          <w:sz w:val="22"/>
          <w:szCs w:val="22"/>
        </w:rPr>
        <w:t xml:space="preserve"> </w:t>
      </w:r>
      <w:r w:rsidRPr="00584246">
        <w:rPr>
          <w:rFonts w:cstheme="minorHAnsi"/>
          <w:sz w:val="22"/>
          <w:szCs w:val="22"/>
        </w:rPr>
        <w:t>za službu vo verejnom záujme udeľovanej niektorým podnikom povereným poskytovaním služieb</w:t>
      </w:r>
      <w:r w:rsidR="00FC4AA5">
        <w:rPr>
          <w:rFonts w:cstheme="minorHAnsi"/>
          <w:sz w:val="22"/>
          <w:szCs w:val="22"/>
        </w:rPr>
        <w:t xml:space="preserve"> </w:t>
      </w:r>
      <w:r w:rsidRPr="00584246">
        <w:rPr>
          <w:rFonts w:cstheme="minorHAnsi"/>
          <w:sz w:val="22"/>
          <w:szCs w:val="22"/>
        </w:rPr>
        <w:t>všeobecného hospodárskeho záujmu</w:t>
      </w:r>
      <w:r w:rsidR="00FC4AA5">
        <w:rPr>
          <w:rFonts w:cstheme="minorHAnsi"/>
          <w:sz w:val="22"/>
          <w:szCs w:val="22"/>
        </w:rPr>
        <w:t xml:space="preserve"> </w:t>
      </w:r>
      <w:r w:rsidRPr="00584246">
        <w:rPr>
          <w:rFonts w:cstheme="minorHAnsi"/>
          <w:sz w:val="22"/>
          <w:szCs w:val="22"/>
        </w:rPr>
        <w:t xml:space="preserve">vytvorená v súlade s Rozhodnutím komisie č. K(2011) 9380 o uplatňovaní článku 106 ods. 2 Zmluvy o fungovaní Európskej únie (ZFEÚ) na štátnu pomoc vo forme náhrady za službu vo verejnom záujme udeľovanej niektorým podnikom povereným poskytovaním služieb všeobecného hospodárskeho záujmu a slúži najmä na </w:t>
      </w:r>
      <w:r w:rsidRPr="00584246">
        <w:rPr>
          <w:rFonts w:asciiTheme="minorHAnsi" w:hAnsiTheme="minorHAnsi" w:cstheme="minorHAnsi"/>
          <w:sz w:val="22"/>
          <w:szCs w:val="22"/>
        </w:rPr>
        <w:t>určenie výpočtu náhrady za služby vo verejnom záujme a stanovenie postupov na kontrolu nadmernej náhrady.</w:t>
      </w:r>
    </w:p>
    <w:p w:rsidR="00584246" w:rsidRPr="00584246" w:rsidRDefault="00584246" w:rsidP="00584246">
      <w:pPr>
        <w:pStyle w:val="Style4"/>
        <w:spacing w:before="43"/>
        <w:rPr>
          <w:rFonts w:asciiTheme="minorHAnsi" w:hAnsiTheme="minorHAnsi" w:cstheme="minorHAnsi"/>
          <w:sz w:val="22"/>
          <w:szCs w:val="22"/>
        </w:rPr>
      </w:pPr>
      <w:r w:rsidRPr="00584246">
        <w:rPr>
          <w:rFonts w:asciiTheme="minorHAnsi" w:hAnsiTheme="minorHAnsi" w:cstheme="minorHAnsi"/>
          <w:sz w:val="22"/>
          <w:szCs w:val="22"/>
        </w:rPr>
        <w:t>Príspevok zo štátneho rozpočtu poskytnutý TASR ako prijímateľovi vo výške náhrady za služby všeobecného hospodárskeho záujmu predstavuje štátnu pomoc, ktorá je zlučiteľná s vnútorným trhom a vyňatá z notifikačnej povinnosti podľa čl. 108 ods. 3 ZFEÚ za predpokladu, že sú splnené podmienky stanovené v rozhodnutí.</w:t>
      </w:r>
    </w:p>
    <w:p w:rsidR="00584246" w:rsidRPr="00584246" w:rsidRDefault="00584246" w:rsidP="00584246">
      <w:pPr>
        <w:pStyle w:val="Style4"/>
        <w:spacing w:before="43"/>
        <w:rPr>
          <w:rFonts w:asciiTheme="minorHAnsi" w:hAnsiTheme="minorHAnsi" w:cstheme="minorHAnsi"/>
          <w:sz w:val="22"/>
          <w:szCs w:val="22"/>
        </w:rPr>
      </w:pPr>
      <w:r w:rsidRPr="00584246">
        <w:rPr>
          <w:rFonts w:asciiTheme="minorHAnsi" w:hAnsiTheme="minorHAnsi" w:cstheme="minorHAnsi"/>
          <w:sz w:val="22"/>
          <w:szCs w:val="22"/>
        </w:rPr>
        <w:t>Rozhodnutie sa okrem iného uplatňuje na štátnu pomoc vo forme náhrady za služby vo verejnom záujme udelenej podnikom v súvislosti so službami všeobecného hospodárskeho záujmu v zmysle čl. 106 ods. 2 ZFEÚ7 ak:</w:t>
      </w:r>
    </w:p>
    <w:p w:rsidR="00584246" w:rsidRPr="00584246" w:rsidRDefault="00584246" w:rsidP="00584246">
      <w:pPr>
        <w:pStyle w:val="Style4"/>
        <w:numPr>
          <w:ilvl w:val="0"/>
          <w:numId w:val="4"/>
        </w:numPr>
        <w:spacing w:before="43"/>
        <w:rPr>
          <w:rFonts w:asciiTheme="minorHAnsi" w:hAnsiTheme="minorHAnsi" w:cstheme="minorHAnsi"/>
          <w:sz w:val="22"/>
          <w:szCs w:val="22"/>
        </w:rPr>
      </w:pPr>
      <w:r w:rsidRPr="00584246">
        <w:rPr>
          <w:rFonts w:asciiTheme="minorHAnsi" w:hAnsiTheme="minorHAnsi" w:cstheme="minorHAnsi"/>
          <w:sz w:val="22"/>
          <w:szCs w:val="22"/>
        </w:rPr>
        <w:t xml:space="preserve">ide o náhradu za poskytovanie služieb všeobecného hospodárskeho záujmu v oblastiach iných ako doprava a dopravná infraštruktúra vo výške menej ako 15 mil. EUR ročne, </w:t>
      </w:r>
    </w:p>
    <w:p w:rsidR="00584246" w:rsidRPr="00584246" w:rsidRDefault="00584246" w:rsidP="00584246">
      <w:pPr>
        <w:pStyle w:val="Style4"/>
        <w:spacing w:before="43"/>
        <w:rPr>
          <w:rFonts w:asciiTheme="minorHAnsi" w:hAnsiTheme="minorHAnsi" w:cstheme="minorHAnsi"/>
          <w:sz w:val="22"/>
          <w:szCs w:val="22"/>
        </w:rPr>
      </w:pPr>
    </w:p>
    <w:p w:rsidR="00584246" w:rsidRPr="00584246" w:rsidRDefault="00584246" w:rsidP="00584246">
      <w:pPr>
        <w:pStyle w:val="Style4"/>
        <w:numPr>
          <w:ilvl w:val="0"/>
          <w:numId w:val="4"/>
        </w:numPr>
        <w:spacing w:before="43"/>
        <w:rPr>
          <w:rFonts w:asciiTheme="minorHAnsi" w:hAnsiTheme="minorHAnsi" w:cstheme="minorHAnsi"/>
          <w:sz w:val="22"/>
          <w:szCs w:val="22"/>
        </w:rPr>
      </w:pPr>
      <w:r w:rsidRPr="00584246">
        <w:rPr>
          <w:rFonts w:asciiTheme="minorHAnsi" w:hAnsiTheme="minorHAnsi" w:cstheme="minorHAnsi"/>
          <w:sz w:val="22"/>
          <w:szCs w:val="22"/>
        </w:rPr>
        <w:t>podnik je poverený poskytovaním služieb všeobecného hospodárskeho záujmu a obdobie trvania poverenia nepresiahne 10 rokov (okrem prípadov, ak sa od poskytovateľa služby vyžaduje významná investícia, ktorú treba amortizovať počas dlhšieho obdobia).</w:t>
      </w:r>
    </w:p>
    <w:p w:rsidR="00584246" w:rsidRPr="00584246" w:rsidRDefault="00584246" w:rsidP="00584246">
      <w:pPr>
        <w:pStyle w:val="Style4"/>
        <w:spacing w:before="43"/>
        <w:rPr>
          <w:rFonts w:asciiTheme="minorHAnsi" w:hAnsiTheme="minorHAnsi" w:cstheme="minorHAnsi"/>
          <w:sz w:val="22"/>
          <w:szCs w:val="22"/>
        </w:rPr>
      </w:pPr>
    </w:p>
    <w:p w:rsidR="00584246" w:rsidRPr="00584246" w:rsidRDefault="00584246" w:rsidP="00584246">
      <w:pPr>
        <w:pStyle w:val="Style4"/>
        <w:spacing w:before="43"/>
        <w:rPr>
          <w:rFonts w:asciiTheme="minorHAnsi" w:hAnsiTheme="minorHAnsi" w:cstheme="minorHAnsi"/>
          <w:sz w:val="22"/>
          <w:szCs w:val="22"/>
        </w:rPr>
      </w:pPr>
      <w:r w:rsidRPr="00584246">
        <w:rPr>
          <w:rFonts w:asciiTheme="minorHAnsi" w:hAnsiTheme="minorHAnsi" w:cstheme="minorHAnsi"/>
          <w:sz w:val="22"/>
          <w:szCs w:val="22"/>
        </w:rPr>
        <w:t>Ak počas trvania poverenia prestanú plniť podmienky na uplatňovanie tohto rozhodnutia, opatrenie sa musí notifikovať v súlade s čl. 108 ods. 3 ZFEÚ.</w:t>
      </w:r>
    </w:p>
    <w:p w:rsidR="00584246" w:rsidRPr="00584246" w:rsidRDefault="00584246" w:rsidP="00584246">
      <w:pPr>
        <w:pStyle w:val="Style4"/>
        <w:spacing w:before="43"/>
        <w:rPr>
          <w:rFonts w:asciiTheme="minorHAnsi" w:hAnsiTheme="minorHAnsi" w:cstheme="minorHAnsi"/>
          <w:sz w:val="22"/>
          <w:szCs w:val="22"/>
        </w:rPr>
      </w:pPr>
      <w:r w:rsidRPr="00584246">
        <w:rPr>
          <w:rFonts w:asciiTheme="minorHAnsi" w:hAnsiTheme="minorHAnsi" w:cstheme="minorHAnsi"/>
          <w:sz w:val="22"/>
          <w:szCs w:val="22"/>
        </w:rPr>
        <w:t xml:space="preserve">Štátnu pomoc poskytnutú podľa rozhodnutia možno považovať za zlučiteľnú iba ak je poskytovaná na zabezpečenie poskytovania služieb všeobecného hospodárskeho záujmu, za predpokladu, že sú splnené všetky podmienky rozhodnutia, pričom členské štáty EÚ </w:t>
      </w:r>
      <w:r w:rsidRPr="00584246">
        <w:rPr>
          <w:rFonts w:asciiTheme="minorHAnsi" w:hAnsiTheme="minorHAnsi" w:cstheme="minorHAnsi"/>
          <w:sz w:val="22"/>
          <w:szCs w:val="22"/>
        </w:rPr>
        <w:lastRenderedPageBreak/>
        <w:t>môžu rozhodnúť, ktoré služby by sa mohli klasifikovať ako služby všeobecného hospodárskeho záujmu.</w:t>
      </w:r>
    </w:p>
    <w:p w:rsidR="00584246" w:rsidRPr="00584246" w:rsidRDefault="00584246" w:rsidP="00584246">
      <w:pPr>
        <w:pStyle w:val="Style4"/>
        <w:spacing w:before="43"/>
        <w:rPr>
          <w:rFonts w:asciiTheme="minorHAnsi" w:hAnsiTheme="minorHAnsi" w:cstheme="minorHAnsi"/>
          <w:sz w:val="22"/>
          <w:szCs w:val="22"/>
        </w:rPr>
      </w:pPr>
      <w:r w:rsidRPr="00584246">
        <w:rPr>
          <w:rFonts w:asciiTheme="minorHAnsi" w:hAnsiTheme="minorHAnsi" w:cstheme="minorHAnsi"/>
          <w:sz w:val="22"/>
          <w:szCs w:val="22"/>
        </w:rPr>
        <w:t>Aby sa článok 106 ods. 2 ZFEÚ mohol uplatňovať, príslušný podnik musí byť prijímateľ poverený poskytovaním konkrétnej služby všeobecného hospodárskeho záujmu. S cieľom zabezpečiť splnenie kritérií stanovených v článku 106 ods. 2 ZFEÚ bude v poverení, ktoré bude súčasťou zmluvy uvedené o aký podnik ide, aký je presný obsah a trvanie záväzkov služby vo verejnom záujme, prípadne príslušné územie, na ktoré sa tieto záväzky vzťahujú, či boli udelené výlučné alebo osobitné práva, a opis mechanizmu náhrad a parametrov na určenie náhrady a ako sa predchádza možnej nadmernej náhrade a ako sa možná nadmerná náhrada vracia späť, vrátane odkazu na rozhodnutie.</w:t>
      </w:r>
    </w:p>
    <w:p w:rsidR="00584246" w:rsidRPr="00584246" w:rsidRDefault="00584246" w:rsidP="00584246">
      <w:pPr>
        <w:pStyle w:val="Style4"/>
        <w:spacing w:before="43"/>
        <w:rPr>
          <w:rFonts w:asciiTheme="minorHAnsi" w:hAnsiTheme="minorHAnsi" w:cstheme="minorHAnsi"/>
          <w:b/>
          <w:sz w:val="22"/>
          <w:szCs w:val="22"/>
        </w:rPr>
      </w:pPr>
    </w:p>
    <w:p w:rsidR="00584246" w:rsidRPr="00584246" w:rsidRDefault="00584246" w:rsidP="00584246">
      <w:pPr>
        <w:pStyle w:val="Style4"/>
        <w:spacing w:before="43"/>
        <w:rPr>
          <w:rFonts w:asciiTheme="minorHAnsi" w:hAnsiTheme="minorHAnsi" w:cstheme="minorHAnsi"/>
          <w:sz w:val="22"/>
          <w:szCs w:val="22"/>
        </w:rPr>
      </w:pPr>
      <w:r w:rsidRPr="00584246">
        <w:rPr>
          <w:rFonts w:asciiTheme="minorHAnsi" w:hAnsiTheme="minorHAnsi" w:cstheme="minorHAnsi"/>
          <w:sz w:val="22"/>
          <w:szCs w:val="22"/>
        </w:rPr>
        <w:t xml:space="preserve">Náhrady súvisiace so službou všeobecného hospodárskeho záujmu, na poskytovanie ktorých bude TASR poverená prostredníctvom  zmluvy, sa budú vyplácať ako príspevok určený na úhradu skutočne vynaložených výdavkov počas obdobia jedného roka. Príspevok sa bude vyplácať systémom platby za podmienok stanovených v zmluve. </w:t>
      </w:r>
    </w:p>
    <w:p w:rsidR="00584246" w:rsidRPr="00584246" w:rsidRDefault="00584246" w:rsidP="00584246">
      <w:pPr>
        <w:pStyle w:val="Style4"/>
        <w:spacing w:before="43"/>
        <w:rPr>
          <w:rFonts w:asciiTheme="minorHAnsi" w:hAnsiTheme="minorHAnsi" w:cstheme="minorHAnsi"/>
          <w:sz w:val="22"/>
          <w:szCs w:val="22"/>
        </w:rPr>
      </w:pPr>
      <w:r w:rsidRPr="00584246">
        <w:rPr>
          <w:rFonts w:asciiTheme="minorHAnsi" w:hAnsiTheme="minorHAnsi" w:cstheme="minorHAnsi"/>
          <w:sz w:val="22"/>
          <w:szCs w:val="22"/>
        </w:rPr>
        <w:t>Príspevok je vedený oddelene na osobitnom účte v Štátnej pokladnici.</w:t>
      </w:r>
    </w:p>
    <w:p w:rsidR="00584246" w:rsidRPr="00584246" w:rsidRDefault="00584246" w:rsidP="00584246">
      <w:pPr>
        <w:pStyle w:val="Style4"/>
        <w:spacing w:before="43"/>
        <w:rPr>
          <w:rFonts w:asciiTheme="minorHAnsi" w:hAnsiTheme="minorHAnsi" w:cstheme="minorHAnsi"/>
          <w:sz w:val="22"/>
          <w:szCs w:val="22"/>
        </w:rPr>
      </w:pPr>
      <w:r w:rsidRPr="00584246">
        <w:rPr>
          <w:rFonts w:asciiTheme="minorHAnsi" w:hAnsiTheme="minorHAnsi" w:cstheme="minorHAnsi"/>
          <w:sz w:val="22"/>
          <w:szCs w:val="22"/>
        </w:rPr>
        <w:t>Celkové oprávnené výdavky predstavujú čisté náklady, potrebné na poskytovanie služieb všeobecného hospodárskeho záujmu a ich výška musí byť vypočítaná v súlade metodikou výpočtu čistých nákladov.</w:t>
      </w:r>
    </w:p>
    <w:p w:rsidR="00584246" w:rsidRPr="00584246" w:rsidRDefault="00584246" w:rsidP="00584246">
      <w:pPr>
        <w:pStyle w:val="Style4"/>
        <w:spacing w:before="43"/>
        <w:rPr>
          <w:rFonts w:asciiTheme="minorHAnsi" w:hAnsiTheme="minorHAnsi" w:cstheme="minorHAnsi"/>
          <w:bCs/>
          <w:sz w:val="22"/>
          <w:szCs w:val="22"/>
        </w:rPr>
      </w:pPr>
      <w:r w:rsidRPr="00584246">
        <w:rPr>
          <w:rFonts w:asciiTheme="minorHAnsi" w:hAnsiTheme="minorHAnsi" w:cstheme="minorHAnsi"/>
          <w:bCs/>
          <w:sz w:val="22"/>
          <w:szCs w:val="22"/>
        </w:rPr>
        <w:t>GR ďalej podrobne informoval o procesných detailoch metodiky a príprave inovovanej verzie i príprave novej zmluvy s MK SR.</w:t>
      </w:r>
    </w:p>
    <w:p w:rsidR="00584246" w:rsidRPr="00584246" w:rsidRDefault="00584246" w:rsidP="00584246">
      <w:pPr>
        <w:pStyle w:val="Style4"/>
        <w:widowControl/>
        <w:spacing w:before="43" w:after="100" w:afterAutospacing="1" w:line="276" w:lineRule="auto"/>
        <w:ind w:firstLine="0"/>
        <w:rPr>
          <w:rStyle w:val="FontStyle12"/>
          <w:rFonts w:asciiTheme="minorHAnsi" w:hAnsiTheme="minorHAnsi" w:cstheme="minorHAnsi"/>
          <w:bCs/>
          <w:sz w:val="22"/>
          <w:szCs w:val="22"/>
        </w:rPr>
      </w:pPr>
    </w:p>
    <w:p w:rsidR="00B7513C" w:rsidRDefault="00B7513C" w:rsidP="00B7513C">
      <w:pPr>
        <w:pStyle w:val="Style5"/>
        <w:widowControl/>
        <w:spacing w:before="72" w:after="100" w:afterAutospacing="1" w:line="276" w:lineRule="auto"/>
        <w:ind w:firstLine="0"/>
        <w:jc w:val="left"/>
        <w:rPr>
          <w:rStyle w:val="FontStyle12"/>
          <w:rFonts w:asciiTheme="minorHAnsi" w:hAnsiTheme="minorHAnsi" w:cstheme="minorHAnsi"/>
          <w:sz w:val="22"/>
          <w:szCs w:val="22"/>
        </w:rPr>
      </w:pPr>
      <w:r>
        <w:rPr>
          <w:rStyle w:val="FontStyle12"/>
          <w:rFonts w:asciiTheme="minorHAnsi" w:hAnsiTheme="minorHAnsi" w:cstheme="minorHAnsi"/>
          <w:sz w:val="22"/>
          <w:szCs w:val="22"/>
        </w:rPr>
        <w:t>Členovia Správnej rady vzali materiál na vedomie.</w:t>
      </w:r>
    </w:p>
    <w:p w:rsidR="00B7513C" w:rsidRDefault="00B7513C" w:rsidP="00B7513C">
      <w:pPr>
        <w:pStyle w:val="Style5"/>
        <w:widowControl/>
        <w:spacing w:before="72" w:after="100" w:afterAutospacing="1" w:line="276" w:lineRule="auto"/>
        <w:ind w:firstLine="0"/>
        <w:jc w:val="left"/>
        <w:rPr>
          <w:rStyle w:val="FontStyle12"/>
          <w:rFonts w:asciiTheme="minorHAnsi" w:hAnsiTheme="minorHAnsi" w:cstheme="minorHAnsi"/>
          <w:sz w:val="22"/>
          <w:szCs w:val="22"/>
        </w:rPr>
      </w:pPr>
      <w:r>
        <w:rPr>
          <w:rStyle w:val="FontStyle12"/>
          <w:rFonts w:asciiTheme="minorHAnsi" w:hAnsiTheme="minorHAnsi" w:cstheme="minorHAnsi"/>
          <w:sz w:val="22"/>
          <w:szCs w:val="22"/>
        </w:rPr>
        <w:t>__________________________________________________________________________________</w:t>
      </w:r>
    </w:p>
    <w:p w:rsidR="00C66BD2" w:rsidRDefault="00C66BD2" w:rsidP="00B7513C">
      <w:pPr>
        <w:pStyle w:val="Style5"/>
        <w:widowControl/>
        <w:spacing w:before="72" w:after="100" w:afterAutospacing="1" w:line="276" w:lineRule="auto"/>
        <w:ind w:firstLine="0"/>
        <w:jc w:val="left"/>
        <w:rPr>
          <w:rStyle w:val="FontStyle12"/>
          <w:rFonts w:asciiTheme="minorHAnsi" w:hAnsiTheme="minorHAnsi" w:cstheme="minorHAnsi"/>
          <w:sz w:val="22"/>
          <w:szCs w:val="22"/>
        </w:rPr>
      </w:pPr>
    </w:p>
    <w:p w:rsidR="00F171CF" w:rsidRDefault="00F171CF" w:rsidP="00B7513C">
      <w:pPr>
        <w:pStyle w:val="Style5"/>
        <w:widowControl/>
        <w:spacing w:before="72" w:after="100" w:afterAutospacing="1" w:line="276" w:lineRule="auto"/>
        <w:ind w:firstLine="0"/>
        <w:jc w:val="left"/>
        <w:rPr>
          <w:rStyle w:val="FontStyle12"/>
          <w:rFonts w:asciiTheme="minorHAnsi" w:hAnsiTheme="minorHAnsi" w:cstheme="minorHAnsi"/>
          <w:sz w:val="22"/>
          <w:szCs w:val="22"/>
        </w:rPr>
      </w:pPr>
    </w:p>
    <w:p w:rsidR="00F171CF" w:rsidRDefault="00F171CF" w:rsidP="00B7513C">
      <w:pPr>
        <w:pStyle w:val="Style5"/>
        <w:widowControl/>
        <w:spacing w:before="72" w:after="100" w:afterAutospacing="1" w:line="276" w:lineRule="auto"/>
        <w:ind w:firstLine="0"/>
        <w:jc w:val="left"/>
        <w:rPr>
          <w:rStyle w:val="FontStyle12"/>
          <w:rFonts w:asciiTheme="minorHAnsi" w:hAnsiTheme="minorHAnsi" w:cstheme="minorHAnsi"/>
          <w:sz w:val="22"/>
          <w:szCs w:val="22"/>
        </w:rPr>
      </w:pPr>
    </w:p>
    <w:p w:rsidR="00B7513C" w:rsidRPr="00B7513C" w:rsidRDefault="00B7513C" w:rsidP="00B7513C">
      <w:pPr>
        <w:pStyle w:val="Style5"/>
        <w:widowControl/>
        <w:numPr>
          <w:ilvl w:val="0"/>
          <w:numId w:val="3"/>
        </w:numPr>
        <w:spacing w:before="72" w:after="100" w:afterAutospacing="1" w:line="276" w:lineRule="auto"/>
        <w:jc w:val="left"/>
        <w:rPr>
          <w:rStyle w:val="FontStyle12"/>
          <w:rFonts w:asciiTheme="minorHAnsi" w:hAnsiTheme="minorHAnsi" w:cstheme="minorHAnsi"/>
          <w:b/>
          <w:sz w:val="22"/>
          <w:szCs w:val="22"/>
        </w:rPr>
      </w:pPr>
      <w:r w:rsidRPr="00B7513C">
        <w:rPr>
          <w:rStyle w:val="FontStyle12"/>
          <w:rFonts w:asciiTheme="minorHAnsi" w:hAnsiTheme="minorHAnsi" w:cstheme="minorHAnsi"/>
          <w:b/>
          <w:sz w:val="22"/>
          <w:szCs w:val="22"/>
        </w:rPr>
        <w:t>Rôzne</w:t>
      </w:r>
    </w:p>
    <w:p w:rsidR="00B7513C" w:rsidRDefault="00B7513C" w:rsidP="00B7513C">
      <w:pPr>
        <w:ind w:left="360"/>
        <w:rPr>
          <w:rFonts w:asciiTheme="minorHAnsi" w:hAnsiTheme="minorHAnsi" w:cstheme="minorHAnsi"/>
        </w:rPr>
      </w:pPr>
      <w:r>
        <w:rPr>
          <w:rFonts w:asciiTheme="minorHAnsi" w:hAnsiTheme="minorHAnsi" w:cstheme="minorHAnsi"/>
        </w:rPr>
        <w:t>Členovia Správnej rady sa dohodli na ďalších termínoch rokovaní:</w:t>
      </w:r>
    </w:p>
    <w:p w:rsidR="00B7513C" w:rsidRDefault="00B7513C" w:rsidP="00B7513C">
      <w:pPr>
        <w:ind w:left="360"/>
        <w:rPr>
          <w:rFonts w:asciiTheme="minorHAnsi" w:hAnsiTheme="minorHAnsi" w:cstheme="minorHAnsi"/>
        </w:rPr>
      </w:pPr>
      <w:r>
        <w:rPr>
          <w:rFonts w:asciiTheme="minorHAnsi" w:hAnsiTheme="minorHAnsi" w:cstheme="minorHAnsi"/>
        </w:rPr>
        <w:t>10/10, 7/11 a 12/12.</w:t>
      </w:r>
    </w:p>
    <w:p w:rsidR="00B7513C" w:rsidRPr="00074368" w:rsidRDefault="00B7513C" w:rsidP="00B7513C">
      <w:pPr>
        <w:ind w:left="720"/>
        <w:rPr>
          <w:rFonts w:asciiTheme="minorHAnsi" w:hAnsiTheme="minorHAnsi" w:cstheme="minorHAnsi"/>
        </w:rPr>
      </w:pPr>
      <w:r w:rsidRPr="00074368">
        <w:rPr>
          <w:rFonts w:asciiTheme="minorHAnsi" w:hAnsiTheme="minorHAnsi" w:cstheme="minorHAnsi"/>
        </w:rPr>
        <w:t>Predsedníčka SR TASR A.  Mezeiová v súlade s Rokovacím poriadkom SR TASR ukončila zasadnutie rady.</w:t>
      </w:r>
    </w:p>
    <w:p w:rsidR="00B7513C" w:rsidRPr="00074368" w:rsidRDefault="00B7513C" w:rsidP="00B7513C">
      <w:pPr>
        <w:ind w:left="720"/>
        <w:rPr>
          <w:rFonts w:asciiTheme="minorHAnsi" w:hAnsiTheme="minorHAnsi" w:cstheme="minorHAnsi"/>
        </w:rPr>
      </w:pPr>
    </w:p>
    <w:p w:rsidR="00B7513C" w:rsidRPr="00074368" w:rsidRDefault="00B7513C" w:rsidP="00B7513C">
      <w:pPr>
        <w:ind w:left="720"/>
        <w:rPr>
          <w:rFonts w:asciiTheme="minorHAnsi" w:hAnsiTheme="minorHAnsi" w:cstheme="minorHAnsi"/>
        </w:rPr>
      </w:pPr>
    </w:p>
    <w:p w:rsidR="00B7513C" w:rsidRPr="00074368" w:rsidRDefault="00B7513C" w:rsidP="00B7513C">
      <w:pPr>
        <w:ind w:left="720"/>
        <w:rPr>
          <w:rFonts w:asciiTheme="minorHAnsi" w:hAnsiTheme="minorHAnsi" w:cstheme="minorHAnsi"/>
        </w:rPr>
      </w:pPr>
      <w:r w:rsidRPr="00074368">
        <w:rPr>
          <w:rFonts w:asciiTheme="minorHAnsi" w:hAnsiTheme="minorHAnsi" w:cstheme="minorHAnsi"/>
        </w:rPr>
        <w:t xml:space="preserve">Bratislava, </w:t>
      </w:r>
      <w:r w:rsidR="00F171CF">
        <w:rPr>
          <w:rFonts w:asciiTheme="minorHAnsi" w:hAnsiTheme="minorHAnsi" w:cstheme="minorHAnsi"/>
        </w:rPr>
        <w:t>26.septembra</w:t>
      </w:r>
      <w:r w:rsidRPr="00074368">
        <w:rPr>
          <w:rFonts w:asciiTheme="minorHAnsi" w:hAnsiTheme="minorHAnsi" w:cstheme="minorHAnsi"/>
        </w:rPr>
        <w:t xml:space="preserve"> 2023</w:t>
      </w:r>
    </w:p>
    <w:p w:rsidR="00B7513C" w:rsidRPr="00074368" w:rsidRDefault="00B7513C" w:rsidP="00B7513C">
      <w:pPr>
        <w:ind w:left="720"/>
        <w:rPr>
          <w:rFonts w:asciiTheme="minorHAnsi" w:hAnsiTheme="minorHAnsi" w:cstheme="minorHAnsi"/>
        </w:rPr>
      </w:pPr>
    </w:p>
    <w:p w:rsidR="00B7513C" w:rsidRPr="00074368" w:rsidRDefault="00B7513C" w:rsidP="00B7513C">
      <w:pPr>
        <w:ind w:left="720"/>
        <w:rPr>
          <w:rFonts w:asciiTheme="minorHAnsi" w:hAnsiTheme="minorHAnsi" w:cstheme="minorHAnsi"/>
        </w:rPr>
      </w:pPr>
      <w:r w:rsidRPr="00074368">
        <w:rPr>
          <w:rFonts w:asciiTheme="minorHAnsi" w:hAnsiTheme="minorHAnsi" w:cstheme="minorHAnsi"/>
        </w:rPr>
        <w:t xml:space="preserve">Zapísala: </w:t>
      </w:r>
    </w:p>
    <w:p w:rsidR="00B7513C" w:rsidRPr="00074368" w:rsidRDefault="00B7513C" w:rsidP="00B7513C">
      <w:pPr>
        <w:tabs>
          <w:tab w:val="left" w:pos="567"/>
        </w:tabs>
        <w:ind w:left="720"/>
        <w:rPr>
          <w:rFonts w:asciiTheme="minorHAnsi" w:hAnsiTheme="minorHAnsi" w:cstheme="minorHAnsi"/>
          <w:b/>
        </w:rPr>
      </w:pPr>
    </w:p>
    <w:p w:rsidR="00B7513C" w:rsidRDefault="00B7513C" w:rsidP="00B7513C">
      <w:pPr>
        <w:ind w:left="720"/>
      </w:pPr>
      <w:r>
        <w:t xml:space="preserve">  </w:t>
      </w:r>
    </w:p>
    <w:p w:rsidR="00B7513C" w:rsidRDefault="00B7513C" w:rsidP="00B7513C">
      <w:pPr>
        <w:ind w:left="720"/>
      </w:pPr>
    </w:p>
    <w:p w:rsidR="00B7513C" w:rsidRDefault="00B7513C" w:rsidP="00B7513C">
      <w:pPr>
        <w:ind w:left="720"/>
      </w:pPr>
    </w:p>
    <w:p w:rsidR="00B7513C" w:rsidRDefault="00B7513C" w:rsidP="00B7513C">
      <w:pPr>
        <w:ind w:left="720"/>
      </w:pPr>
      <w:r>
        <w:t xml:space="preserve">                                                                                              Alena Mezeiová v.r.</w:t>
      </w:r>
    </w:p>
    <w:p w:rsidR="00B7513C" w:rsidRPr="00B7513C" w:rsidRDefault="00B7513C" w:rsidP="00B7513C">
      <w:pPr>
        <w:ind w:left="360"/>
        <w:rPr>
          <w:rFonts w:asciiTheme="minorHAnsi" w:hAnsiTheme="minorHAnsi" w:cstheme="minorHAnsi"/>
        </w:rPr>
      </w:pPr>
    </w:p>
    <w:sectPr w:rsidR="00B7513C" w:rsidRPr="00B7513C" w:rsidSect="006216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2A" w:rsidRDefault="004E7A2A" w:rsidP="00584246">
      <w:pPr>
        <w:spacing w:after="0" w:line="240" w:lineRule="auto"/>
      </w:pPr>
      <w:r>
        <w:separator/>
      </w:r>
    </w:p>
  </w:endnote>
  <w:endnote w:type="continuationSeparator" w:id="0">
    <w:p w:rsidR="004E7A2A" w:rsidRDefault="004E7A2A" w:rsidP="0058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2A" w:rsidRDefault="004E7A2A" w:rsidP="00584246">
      <w:pPr>
        <w:spacing w:after="0" w:line="240" w:lineRule="auto"/>
      </w:pPr>
      <w:r>
        <w:separator/>
      </w:r>
    </w:p>
  </w:footnote>
  <w:footnote w:type="continuationSeparator" w:id="0">
    <w:p w:rsidR="004E7A2A" w:rsidRDefault="004E7A2A" w:rsidP="00584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1737"/>
    <w:multiLevelType w:val="hybridMultilevel"/>
    <w:tmpl w:val="3014D2E4"/>
    <w:lvl w:ilvl="0" w:tplc="F9E8DCEE">
      <w:start w:val="1"/>
      <w:numFmt w:val="decimal"/>
      <w:lvlText w:val="%1."/>
      <w:lvlJc w:val="left"/>
      <w:pPr>
        <w:ind w:left="720" w:hanging="360"/>
      </w:pPr>
      <w:rPr>
        <w:rFonts w:ascii="Arial" w:hAnsi="Arial" w:cs="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3C83656"/>
    <w:multiLevelType w:val="multilevel"/>
    <w:tmpl w:val="B71A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7B0FF1"/>
    <w:multiLevelType w:val="hybridMultilevel"/>
    <w:tmpl w:val="ECC00F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C592AD5"/>
    <w:multiLevelType w:val="hybridMultilevel"/>
    <w:tmpl w:val="C31EFA36"/>
    <w:lvl w:ilvl="0" w:tplc="C3B6B224">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CD"/>
    <w:rsid w:val="002F09EF"/>
    <w:rsid w:val="004E7A2A"/>
    <w:rsid w:val="00584246"/>
    <w:rsid w:val="005F46DC"/>
    <w:rsid w:val="006216AC"/>
    <w:rsid w:val="006715CA"/>
    <w:rsid w:val="006E7D74"/>
    <w:rsid w:val="00AE00ED"/>
    <w:rsid w:val="00B7513C"/>
    <w:rsid w:val="00C66BD2"/>
    <w:rsid w:val="00DF2427"/>
    <w:rsid w:val="00F171CF"/>
    <w:rsid w:val="00FB14CD"/>
    <w:rsid w:val="00FC4AA5"/>
    <w:rsid w:val="00FF04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7E5D3-45AA-46E2-9410-A69769CA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14CD"/>
    <w:pPr>
      <w:spacing w:after="160" w:line="25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B14CD"/>
    <w:pPr>
      <w:ind w:left="720"/>
      <w:contextualSpacing/>
    </w:pPr>
  </w:style>
  <w:style w:type="paragraph" w:customStyle="1" w:styleId="Style4">
    <w:name w:val="Style4"/>
    <w:basedOn w:val="Normlny"/>
    <w:uiPriority w:val="99"/>
    <w:rsid w:val="00B7513C"/>
    <w:pPr>
      <w:widowControl w:val="0"/>
      <w:autoSpaceDE w:val="0"/>
      <w:autoSpaceDN w:val="0"/>
      <w:adjustRightInd w:val="0"/>
      <w:spacing w:after="0" w:line="271" w:lineRule="exact"/>
      <w:ind w:firstLine="216"/>
    </w:pPr>
    <w:rPr>
      <w:rFonts w:eastAsia="Times New Roman"/>
      <w:sz w:val="24"/>
      <w:szCs w:val="24"/>
      <w:lang w:eastAsia="sk-SK"/>
    </w:rPr>
  </w:style>
  <w:style w:type="paragraph" w:customStyle="1" w:styleId="Style5">
    <w:name w:val="Style5"/>
    <w:basedOn w:val="Normlny"/>
    <w:uiPriority w:val="99"/>
    <w:rsid w:val="00B7513C"/>
    <w:pPr>
      <w:widowControl w:val="0"/>
      <w:autoSpaceDE w:val="0"/>
      <w:autoSpaceDN w:val="0"/>
      <w:adjustRightInd w:val="0"/>
      <w:spacing w:after="0" w:line="317" w:lineRule="exact"/>
      <w:ind w:firstLine="240"/>
      <w:jc w:val="both"/>
    </w:pPr>
    <w:rPr>
      <w:rFonts w:eastAsia="Times New Roman"/>
      <w:sz w:val="24"/>
      <w:szCs w:val="24"/>
      <w:lang w:eastAsia="sk-SK"/>
    </w:rPr>
  </w:style>
  <w:style w:type="character" w:customStyle="1" w:styleId="FontStyle12">
    <w:name w:val="Font Style12"/>
    <w:uiPriority w:val="99"/>
    <w:rsid w:val="00B7513C"/>
    <w:rPr>
      <w:rFonts w:ascii="Calibri" w:hAnsi="Calibri" w:cs="Calibri"/>
      <w:sz w:val="20"/>
      <w:szCs w:val="20"/>
    </w:rPr>
  </w:style>
  <w:style w:type="table" w:styleId="Mriekatabuky">
    <w:name w:val="Table Grid"/>
    <w:basedOn w:val="Normlnatabuka"/>
    <w:uiPriority w:val="59"/>
    <w:rsid w:val="0058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84246"/>
    <w:pPr>
      <w:spacing w:after="0" w:line="240" w:lineRule="auto"/>
    </w:pPr>
  </w:style>
  <w:style w:type="paragraph" w:styleId="Textpoznmkypodiarou">
    <w:name w:val="footnote text"/>
    <w:basedOn w:val="Normlny"/>
    <w:link w:val="TextpoznmkypodiarouChar"/>
    <w:uiPriority w:val="99"/>
    <w:semiHidden/>
    <w:unhideWhenUsed/>
    <w:rsid w:val="00584246"/>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584246"/>
    <w:rPr>
      <w:sz w:val="20"/>
      <w:szCs w:val="20"/>
    </w:rPr>
  </w:style>
  <w:style w:type="character" w:styleId="Odkaznapoznmkupodiarou">
    <w:name w:val="footnote reference"/>
    <w:basedOn w:val="Predvolenpsmoodseku"/>
    <w:uiPriority w:val="99"/>
    <w:semiHidden/>
    <w:unhideWhenUsed/>
    <w:rsid w:val="00584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6814</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Customer</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Holásková</dc:creator>
  <cp:lastModifiedBy>Daniel Forgács</cp:lastModifiedBy>
  <cp:revision>2</cp:revision>
  <dcterms:created xsi:type="dcterms:W3CDTF">2023-10-16T07:37:00Z</dcterms:created>
  <dcterms:modified xsi:type="dcterms:W3CDTF">2023-10-16T07:37:00Z</dcterms:modified>
</cp:coreProperties>
</file>