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396" w:rsidRPr="003D563B" w:rsidRDefault="00820396" w:rsidP="00820396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</w:t>
      </w:r>
      <w:r w:rsidR="00E35196">
        <w:t xml:space="preserve">       </w:t>
      </w:r>
      <w:r>
        <w:rPr>
          <w:rFonts w:asciiTheme="minorHAnsi" w:hAnsiTheme="minorHAnsi" w:cstheme="minorHAnsi"/>
          <w:b/>
        </w:rPr>
        <w:t xml:space="preserve">ZÁPIS č. </w:t>
      </w:r>
      <w:r w:rsidR="00E35196">
        <w:rPr>
          <w:rFonts w:asciiTheme="minorHAnsi" w:hAnsiTheme="minorHAnsi" w:cstheme="minorHAnsi"/>
          <w:b/>
        </w:rPr>
        <w:t>6</w:t>
      </w:r>
    </w:p>
    <w:p w:rsidR="00820396" w:rsidRPr="003D563B" w:rsidRDefault="00820396" w:rsidP="0082039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820396" w:rsidRPr="003D563B" w:rsidRDefault="00820396" w:rsidP="00820396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</w:t>
      </w:r>
      <w:r w:rsidR="00E35196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20. júna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820396" w:rsidRPr="003D563B" w:rsidRDefault="00820396" w:rsidP="00820396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820396" w:rsidRPr="003D563B" w:rsidRDefault="00820396" w:rsidP="0082039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Peter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820396" w:rsidRPr="003D563B" w:rsidRDefault="00820396" w:rsidP="0082039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</w:t>
      </w:r>
      <w:r w:rsidR="00DF65E4">
        <w:rPr>
          <w:rFonts w:asciiTheme="minorHAnsi" w:hAnsiTheme="minorHAnsi" w:cstheme="minorHAnsi"/>
          <w:b/>
        </w:rPr>
        <w:t xml:space="preserve"> </w:t>
      </w:r>
      <w:r w:rsidR="00DF65E4">
        <w:rPr>
          <w:rFonts w:asciiTheme="minorHAnsi" w:hAnsiTheme="minorHAnsi" w:cstheme="minorHAnsi"/>
        </w:rPr>
        <w:t>Ladislav Mikuš</w:t>
      </w:r>
      <w:r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 </w:t>
      </w:r>
    </w:p>
    <w:p w:rsidR="00820396" w:rsidRPr="003D563B" w:rsidRDefault="00820396" w:rsidP="0082039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820396" w:rsidRPr="003D563B" w:rsidRDefault="00820396" w:rsidP="0082039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820396" w:rsidRPr="003D563B" w:rsidRDefault="00820396" w:rsidP="0082039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20396" w:rsidRDefault="00820396" w:rsidP="0082039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navrhla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:rsidR="00820396" w:rsidRPr="00820396" w:rsidRDefault="00820396" w:rsidP="00820396">
      <w:pPr>
        <w:tabs>
          <w:tab w:val="left" w:pos="567"/>
        </w:tabs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>Program:</w:t>
      </w:r>
    </w:p>
    <w:p w:rsidR="00820396" w:rsidRPr="00820396" w:rsidRDefault="00820396" w:rsidP="00820396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20396">
        <w:rPr>
          <w:rFonts w:asciiTheme="minorHAnsi" w:hAnsiTheme="minorHAnsi" w:cstheme="minorHAnsi"/>
          <w:b/>
          <w:szCs w:val="24"/>
        </w:rPr>
        <w:t>Rozpis rozpočtu Tlačovej agentúry Slovenskej republiky na roky 2024 až 2026 v zmysle požiadavky MK SR a MF SR</w:t>
      </w:r>
    </w:p>
    <w:p w:rsidR="00820396" w:rsidRPr="00820396" w:rsidRDefault="00820396" w:rsidP="00820396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20396">
        <w:rPr>
          <w:rFonts w:asciiTheme="minorHAnsi" w:hAnsiTheme="minorHAnsi" w:cstheme="minorHAnsi"/>
          <w:b/>
          <w:szCs w:val="24"/>
        </w:rPr>
        <w:t>Oznámenia protispoločenskej činnosti a ochrana oznamovateľa v TASR</w:t>
      </w:r>
    </w:p>
    <w:p w:rsidR="00820396" w:rsidRPr="00820396" w:rsidRDefault="00820396" w:rsidP="008203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820396">
        <w:rPr>
          <w:rFonts w:asciiTheme="minorHAnsi" w:hAnsiTheme="minorHAnsi" w:cstheme="minorHAnsi"/>
          <w:b/>
          <w:szCs w:val="24"/>
        </w:rPr>
        <w:t>Rôzne</w:t>
      </w:r>
    </w:p>
    <w:p w:rsidR="00820396" w:rsidRPr="00820396" w:rsidRDefault="00820396" w:rsidP="00820396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</w:p>
    <w:p w:rsidR="00820396" w:rsidRPr="00820396" w:rsidRDefault="00820396" w:rsidP="00820396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820396">
        <w:rPr>
          <w:rFonts w:asciiTheme="minorHAnsi" w:hAnsiTheme="minorHAnsi" w:cstheme="minorHAnsi"/>
          <w:b/>
        </w:rPr>
        <w:t>UZNESENIE č. 01/20/06/2023:</w:t>
      </w:r>
    </w:p>
    <w:p w:rsidR="00820396" w:rsidRPr="00820396" w:rsidRDefault="00820396" w:rsidP="00820396">
      <w:pPr>
        <w:ind w:left="360"/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>Členovia SR TASR schválili program zasadnutia:</w:t>
      </w:r>
    </w:p>
    <w:p w:rsidR="00820396" w:rsidRPr="00820396" w:rsidRDefault="00820396" w:rsidP="0082039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820396" w:rsidRPr="00820396" w:rsidRDefault="00820396" w:rsidP="0082039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 xml:space="preserve">        P. </w:t>
      </w:r>
      <w:proofErr w:type="spellStart"/>
      <w:r w:rsidRPr="00820396">
        <w:rPr>
          <w:rFonts w:asciiTheme="minorHAnsi" w:hAnsiTheme="minorHAnsi" w:cstheme="minorHAnsi"/>
        </w:rPr>
        <w:t>Mestický</w:t>
      </w:r>
      <w:proofErr w:type="spellEnd"/>
    </w:p>
    <w:p w:rsidR="00820396" w:rsidRPr="00820396" w:rsidRDefault="00820396" w:rsidP="0082039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 xml:space="preserve">        J. </w:t>
      </w:r>
      <w:proofErr w:type="spellStart"/>
      <w:r w:rsidRPr="00820396">
        <w:rPr>
          <w:rFonts w:asciiTheme="minorHAnsi" w:hAnsiTheme="minorHAnsi" w:cstheme="minorHAnsi"/>
        </w:rPr>
        <w:t>Tuhovčák</w:t>
      </w:r>
      <w:proofErr w:type="spellEnd"/>
    </w:p>
    <w:p w:rsidR="00820396" w:rsidRPr="00820396" w:rsidRDefault="00820396" w:rsidP="0082039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820396">
        <w:rPr>
          <w:rFonts w:asciiTheme="minorHAnsi" w:hAnsiTheme="minorHAnsi" w:cstheme="minorHAnsi"/>
        </w:rPr>
        <w:t xml:space="preserve">        A. Mezeiová</w:t>
      </w:r>
    </w:p>
    <w:p w:rsidR="00820396" w:rsidRPr="00820396" w:rsidRDefault="00820396" w:rsidP="0082039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820396" w:rsidRPr="00820396" w:rsidRDefault="00820396" w:rsidP="00820396">
      <w:pPr>
        <w:pBdr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 w:rsidRPr="00820396">
        <w:rPr>
          <w:rFonts w:asciiTheme="minorHAnsi" w:hAnsiTheme="minorHAnsi" w:cstheme="minorHAnsi"/>
          <w:b/>
        </w:rPr>
        <w:t>Uznesenie bolo prijaté.</w:t>
      </w:r>
    </w:p>
    <w:p w:rsidR="00820396" w:rsidRPr="00820396" w:rsidRDefault="00820396" w:rsidP="0082039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20396">
        <w:rPr>
          <w:rFonts w:asciiTheme="minorHAnsi" w:hAnsiTheme="minorHAnsi" w:cstheme="minorHAnsi"/>
          <w:b/>
          <w:szCs w:val="24"/>
        </w:rPr>
        <w:t>Rozpis rozpočtu Tlačovej agentúry Slovenskej republiky na roky 2024 až 2026 v zmysle požiadavky MK SR a MF SR</w:t>
      </w:r>
    </w:p>
    <w:p w:rsidR="00820396" w:rsidRDefault="00820396"/>
    <w:p w:rsidR="000D3EC3" w:rsidRPr="002E2CDD" w:rsidRDefault="00820396" w:rsidP="000D3EC3">
      <w:pPr>
        <w:rPr>
          <w:rFonts w:asciiTheme="minorHAnsi" w:hAnsiTheme="minorHAnsi" w:cstheme="minorHAnsi"/>
          <w:bCs/>
          <w:i/>
        </w:rPr>
      </w:pPr>
      <w:r>
        <w:t>Ako uviedol V. Puchala</w:t>
      </w:r>
      <w:r w:rsidRPr="000D3EC3">
        <w:rPr>
          <w:rFonts w:asciiTheme="minorHAnsi" w:hAnsiTheme="minorHAnsi" w:cstheme="minorHAnsi"/>
        </w:rPr>
        <w:t>,</w:t>
      </w:r>
      <w:r w:rsidR="000D3EC3" w:rsidRPr="000D3EC3">
        <w:rPr>
          <w:rFonts w:asciiTheme="minorHAnsi" w:hAnsiTheme="minorHAnsi" w:cstheme="minorHAnsi"/>
        </w:rPr>
        <w:t xml:space="preserve"> </w:t>
      </w:r>
      <w:r w:rsidR="000D3EC3" w:rsidRPr="000D3EC3">
        <w:rPr>
          <w:rFonts w:asciiTheme="minorHAnsi" w:hAnsiTheme="minorHAnsi" w:cstheme="minorHAnsi"/>
          <w:i/>
        </w:rPr>
        <w:t xml:space="preserve">v súvislosti s prípravou návrhu rozpočtu verejnej správy na roky 2024 až 2026 bol Tlačovej agentúre Slovenskej republiky oznámený limit príjmov a výdavkov rozpočtu TASR na roky 2024 až 2026. V zmysle oznámenia TASR spracovala rozpis rozpočtu do najnižšej úrovne ekonomickej klasifikácie v súlade s celkovou výškou príjmov a výdavkov  a výškou prebytku v metodike ESA 2010 navrhovanou MK SR, ktorý však vôbec </w:t>
      </w:r>
      <w:r w:rsidR="000D3EC3" w:rsidRPr="002E2CDD">
        <w:rPr>
          <w:rFonts w:asciiTheme="minorHAnsi" w:hAnsiTheme="minorHAnsi" w:cstheme="minorHAnsi"/>
          <w:bCs/>
          <w:i/>
        </w:rPr>
        <w:t xml:space="preserve">nezohľadňuje požiadavky, ktoré TASR navrhla pri začatí prác na tvorbe Návrhu rozpočtu verejnej správy na roky 2024 až 2026 v mesiaci február tohto roka.  </w:t>
      </w:r>
    </w:p>
    <w:p w:rsidR="000D3EC3" w:rsidRPr="002E2CDD" w:rsidRDefault="000D3EC3" w:rsidP="000D3EC3">
      <w:pPr>
        <w:rPr>
          <w:rFonts w:asciiTheme="minorHAnsi" w:hAnsiTheme="minorHAnsi" w:cstheme="minorHAnsi"/>
          <w:bCs/>
          <w:i/>
        </w:rPr>
      </w:pPr>
      <w:r w:rsidRPr="002E2CDD">
        <w:rPr>
          <w:rFonts w:asciiTheme="minorHAnsi" w:hAnsiTheme="minorHAnsi" w:cstheme="minorHAnsi"/>
          <w:bCs/>
          <w:i/>
        </w:rPr>
        <w:t>Uvedené dokumentuje aj nasledovné porovnanie vývoja rozpočtu výdavkov za roky 2022 až 2024, keď návrh rozpočtu výdavkov v roku 2024 zostáva na úrovni roku 2022.</w:t>
      </w:r>
    </w:p>
    <w:p w:rsidR="000D3EC3" w:rsidRPr="000D3EC3" w:rsidRDefault="000D3EC3" w:rsidP="000D3EC3">
      <w:pPr>
        <w:spacing w:line="240" w:lineRule="auto"/>
        <w:rPr>
          <w:rFonts w:asciiTheme="minorHAnsi" w:hAnsiTheme="minorHAnsi" w:cstheme="minorHAnsi"/>
          <w:i/>
          <w:u w:val="single"/>
        </w:rPr>
      </w:pPr>
      <w:r w:rsidRPr="000D3EC3">
        <w:rPr>
          <w:rFonts w:asciiTheme="minorHAnsi" w:hAnsiTheme="minorHAnsi" w:cstheme="minorHAnsi"/>
          <w:i/>
        </w:rPr>
        <w:lastRenderedPageBreak/>
        <w:t xml:space="preserve">Návrh rozpočtu nezohľadnil skutočnosť, že výška príspevku zo štátneho rozpočtu pre TASR je nezmenená od roku 2015.  </w:t>
      </w:r>
    </w:p>
    <w:p w:rsidR="000D3EC3" w:rsidRPr="002E2CDD" w:rsidRDefault="000D3EC3" w:rsidP="000D3EC3">
      <w:pPr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 xml:space="preserve">Je zrejmé, že napriek tomu, že nárast nákladov v poslednej dobe mimoriadne akceleruje, navrhovaný rozpočet vôbec nezohľadňuje dopady inflácie, valorizácie, nárastov cien energií, príplatkov za prácu, zvýšenia stravného, zabezpečenia úloh zo zákona o kybernetickej bezpečnosti, zákona o systémoch verejnej správy alebo archívneho zákona, poplatkov za zahraničné agentúry, nákladov na posty v zahraniční či v regiónoch, </w:t>
      </w:r>
      <w:proofErr w:type="spellStart"/>
      <w:r w:rsidRPr="002E2CDD">
        <w:rPr>
          <w:rFonts w:asciiTheme="minorHAnsi" w:hAnsiTheme="minorHAnsi" w:cstheme="minorHAnsi"/>
          <w:iCs/>
        </w:rPr>
        <w:t>antihoaxové</w:t>
      </w:r>
      <w:proofErr w:type="spellEnd"/>
      <w:r w:rsidRPr="002E2CDD">
        <w:rPr>
          <w:rFonts w:asciiTheme="minorHAnsi" w:hAnsiTheme="minorHAnsi" w:cstheme="minorHAnsi"/>
          <w:iCs/>
        </w:rPr>
        <w:t xml:space="preserve"> programy, </w:t>
      </w:r>
      <w:proofErr w:type="spellStart"/>
      <w:r w:rsidRPr="002E2CDD">
        <w:rPr>
          <w:rFonts w:asciiTheme="minorHAnsi" w:hAnsiTheme="minorHAnsi" w:cstheme="minorHAnsi"/>
          <w:iCs/>
        </w:rPr>
        <w:t>multimedialitu</w:t>
      </w:r>
      <w:proofErr w:type="spellEnd"/>
      <w:r w:rsidRPr="002E2CDD">
        <w:rPr>
          <w:rFonts w:asciiTheme="minorHAnsi" w:hAnsiTheme="minorHAnsi" w:cstheme="minorHAnsi"/>
          <w:iCs/>
        </w:rPr>
        <w:t xml:space="preserve"> spravodajstva a potreby vyspelých technológií pre doručovanie informácií odberateľom i verejnosti v slovenskom, anglickom i maďarskom jazyku.  </w:t>
      </w:r>
    </w:p>
    <w:p w:rsidR="000D3EC3" w:rsidRPr="002E2CDD" w:rsidRDefault="000D3EC3" w:rsidP="000D3EC3">
      <w:pPr>
        <w:spacing w:line="240" w:lineRule="auto"/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 xml:space="preserve">TASR je dnes silná a spoľahlivá značka. </w:t>
      </w:r>
      <w:r w:rsidR="00B16C68" w:rsidRPr="002E2CDD">
        <w:rPr>
          <w:rFonts w:asciiTheme="minorHAnsi" w:hAnsiTheme="minorHAnsi" w:cstheme="minorHAnsi"/>
          <w:iCs/>
        </w:rPr>
        <w:t>Správy v rámci hlavnej činnosti i informácie vo verejnom záujme od</w:t>
      </w:r>
      <w:r w:rsidRPr="002E2CDD">
        <w:rPr>
          <w:rFonts w:asciiTheme="minorHAnsi" w:hAnsiTheme="minorHAnsi" w:cstheme="minorHAnsi"/>
          <w:iCs/>
        </w:rPr>
        <w:t>oberajú prakticky všetky médiá na Slovensku, ambasády i mnohé agentúry v zahraničí. Pri aktuálnej trhovej situácii by zvýšenie cien agentúrneho servisu mohlo spôsobiť, že by si ho najmä</w:t>
      </w:r>
      <w:r w:rsidR="00B16C68" w:rsidRPr="002E2CDD">
        <w:rPr>
          <w:rFonts w:asciiTheme="minorHAnsi" w:hAnsiTheme="minorHAnsi" w:cstheme="minorHAnsi"/>
          <w:iCs/>
        </w:rPr>
        <w:t xml:space="preserve"> menších</w:t>
      </w:r>
      <w:r w:rsidRPr="002E2CDD">
        <w:rPr>
          <w:rFonts w:asciiTheme="minorHAnsi" w:hAnsiTheme="minorHAnsi" w:cstheme="minorHAnsi"/>
          <w:iCs/>
        </w:rPr>
        <w:t xml:space="preserve"> množstvo menších médií už ďalej nemohlo dovoliť, čím by sa zvýšilo riziko ich prechodu k alternatívnym, často menej dôveryhodným informačným zdrojom. </w:t>
      </w:r>
    </w:p>
    <w:p w:rsidR="000D3EC3" w:rsidRPr="002E2CDD" w:rsidRDefault="000D3EC3" w:rsidP="000D3EC3">
      <w:pPr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>Ako  dodal,  zostavený rozpis rozpočtu obsahuje veľké riziká. Jeho dodržanie je možné iba za cenu  výrazných reštrikcií, čo bude mať dopad na plnenie služieb v rozsahu zákona a zachovanie kvality služieb.</w:t>
      </w:r>
    </w:p>
    <w:p w:rsidR="005950C1" w:rsidRPr="002E2CDD" w:rsidRDefault="005950C1" w:rsidP="000D3EC3">
      <w:pPr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 xml:space="preserve">V. Puchala v tomto kontexte ocenil legislatívnu zmenu, ktorú </w:t>
      </w:r>
      <w:r w:rsidR="002E2CDD">
        <w:rPr>
          <w:rFonts w:asciiTheme="minorHAnsi" w:hAnsiTheme="minorHAnsi" w:cstheme="minorHAnsi"/>
          <w:iCs/>
        </w:rPr>
        <w:t xml:space="preserve">pár hodín pred zasadnutím SR TASR </w:t>
      </w:r>
      <w:r w:rsidRPr="002E2CDD">
        <w:rPr>
          <w:rFonts w:asciiTheme="minorHAnsi" w:hAnsiTheme="minorHAnsi" w:cstheme="minorHAnsi"/>
          <w:iCs/>
        </w:rPr>
        <w:t xml:space="preserve">schválila NR SR o systéme financovania úloh vo verejnom záujme verejnoprávnej agentúry. Od budúceho roku by malo byť plnenie úloh vo verejnom záujme hradené sumou 0.0029 HDP. V podstate ide o zjednotenie príspevku, dodatkov, prevádzkových a kapitálových prostriedkov s navýšením na zlepšenie kvality služieb vo verejnom záujme. Ďalšie vykonávacie informácie k tejto téme bude GR prezentovať SR </w:t>
      </w:r>
      <w:r w:rsidR="002E2CDD">
        <w:rPr>
          <w:rFonts w:asciiTheme="minorHAnsi" w:hAnsiTheme="minorHAnsi" w:cstheme="minorHAnsi"/>
          <w:iCs/>
        </w:rPr>
        <w:t>na budúcich rokovaniach</w:t>
      </w:r>
      <w:r w:rsidRPr="002E2CDD">
        <w:rPr>
          <w:rFonts w:asciiTheme="minorHAnsi" w:hAnsiTheme="minorHAnsi" w:cstheme="minorHAnsi"/>
          <w:iCs/>
        </w:rPr>
        <w:t xml:space="preserve">. </w:t>
      </w:r>
    </w:p>
    <w:p w:rsidR="005950C1" w:rsidRPr="002E2CDD" w:rsidRDefault="005950C1" w:rsidP="000D3EC3">
      <w:pPr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 xml:space="preserve">GR poďakoval Správnej rade za list, </w:t>
      </w:r>
      <w:r w:rsidR="002E2CDD">
        <w:rPr>
          <w:rFonts w:asciiTheme="minorHAnsi" w:hAnsiTheme="minorHAnsi" w:cstheme="minorHAnsi"/>
          <w:iCs/>
        </w:rPr>
        <w:t xml:space="preserve">adresovaný </w:t>
      </w:r>
      <w:r w:rsidRPr="002E2CDD">
        <w:rPr>
          <w:rFonts w:asciiTheme="minorHAnsi" w:hAnsiTheme="minorHAnsi" w:cstheme="minorHAnsi"/>
          <w:iCs/>
        </w:rPr>
        <w:t xml:space="preserve">príslušným ministerstvám a predsedovi parlamentu, ktorý pomohol zviditeľniť tému financovania TASR a vyústil do procesu legislatívnej zmeny. </w:t>
      </w:r>
    </w:p>
    <w:p w:rsidR="000D3EC3" w:rsidRPr="002E2CDD" w:rsidRDefault="000D3EC3" w:rsidP="000D3EC3">
      <w:pPr>
        <w:spacing w:line="240" w:lineRule="auto"/>
        <w:rPr>
          <w:rFonts w:asciiTheme="minorHAnsi" w:hAnsiTheme="minorHAnsi" w:cstheme="minorHAnsi"/>
          <w:iCs/>
        </w:rPr>
      </w:pPr>
      <w:r w:rsidRPr="002E2CDD">
        <w:rPr>
          <w:rFonts w:asciiTheme="minorHAnsi" w:hAnsiTheme="minorHAnsi" w:cstheme="minorHAnsi"/>
          <w:iCs/>
        </w:rPr>
        <w:t xml:space="preserve">Členovia Správnej rady opakovane vyjadrili názor, že aktuálna výška príspevku zo štátneho rozpočtu pre TASR, ktorá </w:t>
      </w:r>
      <w:r w:rsidR="005950C1" w:rsidRPr="002E2CDD">
        <w:rPr>
          <w:rFonts w:asciiTheme="minorHAnsi" w:hAnsiTheme="minorHAnsi" w:cstheme="minorHAnsi"/>
          <w:iCs/>
        </w:rPr>
        <w:t>bola</w:t>
      </w:r>
      <w:r w:rsidRPr="002E2CDD">
        <w:rPr>
          <w:rFonts w:asciiTheme="minorHAnsi" w:hAnsiTheme="minorHAnsi" w:cstheme="minorHAnsi"/>
          <w:iCs/>
        </w:rPr>
        <w:t xml:space="preserve"> nezmenená od roku 2015, n</w:t>
      </w:r>
      <w:r w:rsidR="005950C1" w:rsidRPr="002E2CDD">
        <w:rPr>
          <w:rFonts w:asciiTheme="minorHAnsi" w:hAnsiTheme="minorHAnsi" w:cstheme="minorHAnsi"/>
          <w:iCs/>
        </w:rPr>
        <w:t xml:space="preserve">ebola dostatočná a vyžadovala ďalšie dodatky i dodatky na kapitálové prostriedky. </w:t>
      </w:r>
      <w:r w:rsidR="00DF65E4" w:rsidRPr="002E2CDD">
        <w:rPr>
          <w:rFonts w:asciiTheme="minorHAnsi" w:hAnsiTheme="minorHAnsi" w:cstheme="minorHAnsi"/>
          <w:iCs/>
        </w:rPr>
        <w:t>Po krátkej diskusii vzal</w:t>
      </w:r>
      <w:r w:rsidR="005950C1" w:rsidRPr="002E2CDD">
        <w:rPr>
          <w:rFonts w:asciiTheme="minorHAnsi" w:hAnsiTheme="minorHAnsi" w:cstheme="minorHAnsi"/>
          <w:iCs/>
        </w:rPr>
        <w:t>a rada</w:t>
      </w:r>
      <w:r w:rsidR="00DF65E4" w:rsidRPr="002E2CDD">
        <w:rPr>
          <w:rFonts w:asciiTheme="minorHAnsi" w:hAnsiTheme="minorHAnsi" w:cstheme="minorHAnsi"/>
          <w:iCs/>
        </w:rPr>
        <w:t xml:space="preserve"> materiál na vedomie.</w:t>
      </w:r>
    </w:p>
    <w:p w:rsidR="00DF65E4" w:rsidRDefault="00DF65E4" w:rsidP="000D3EC3">
      <w:pPr>
        <w:spacing w:line="240" w:lineRule="auto"/>
        <w:rPr>
          <w:rFonts w:asciiTheme="minorHAnsi" w:hAnsiTheme="minorHAnsi" w:cstheme="minorHAnsi"/>
        </w:rPr>
      </w:pPr>
      <w:r w:rsidRPr="002E2CDD">
        <w:rPr>
          <w:rFonts w:asciiTheme="minorHAnsi" w:hAnsiTheme="minorHAnsi" w:cstheme="minorHAnsi"/>
          <w:iCs/>
        </w:rPr>
        <w:t>__________________________________________________________________________________</w:t>
      </w:r>
    </w:p>
    <w:p w:rsidR="00DF65E4" w:rsidRDefault="00DF65E4" w:rsidP="00DF65E4">
      <w:pPr>
        <w:pStyle w:val="Odsekzoznamu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DF65E4">
        <w:rPr>
          <w:rFonts w:asciiTheme="minorHAnsi" w:hAnsiTheme="minorHAnsi" w:cstheme="minorHAnsi"/>
          <w:b/>
          <w:szCs w:val="24"/>
        </w:rPr>
        <w:t>Oznámenia protispoločenskej činnosti a ochrana oznamovateľa v</w:t>
      </w:r>
      <w:r>
        <w:rPr>
          <w:rFonts w:asciiTheme="minorHAnsi" w:hAnsiTheme="minorHAnsi" w:cstheme="minorHAnsi"/>
          <w:b/>
          <w:szCs w:val="24"/>
        </w:rPr>
        <w:t> </w:t>
      </w:r>
      <w:r w:rsidRPr="00DF65E4">
        <w:rPr>
          <w:rFonts w:asciiTheme="minorHAnsi" w:hAnsiTheme="minorHAnsi" w:cstheme="minorHAnsi"/>
          <w:b/>
          <w:szCs w:val="24"/>
        </w:rPr>
        <w:t>TASR</w:t>
      </w:r>
    </w:p>
    <w:p w:rsidR="00DF65E4" w:rsidRDefault="00DF65E4" w:rsidP="00DF65E4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DF65E4" w:rsidRPr="00DF65E4" w:rsidRDefault="00DF65E4" w:rsidP="00DF65E4">
      <w:pPr>
        <w:rPr>
          <w:rFonts w:asciiTheme="minorHAnsi" w:hAnsiTheme="minorHAnsi" w:cstheme="minorHAnsi"/>
        </w:rPr>
      </w:pPr>
      <w:r w:rsidRPr="00DF65E4">
        <w:rPr>
          <w:rFonts w:asciiTheme="minorHAnsi" w:hAnsiTheme="minorHAnsi" w:cstheme="minorHAnsi"/>
        </w:rPr>
        <w:t xml:space="preserve">V. Puchala </w:t>
      </w:r>
      <w:r>
        <w:rPr>
          <w:rFonts w:asciiTheme="minorHAnsi" w:hAnsiTheme="minorHAnsi" w:cstheme="minorHAnsi"/>
        </w:rPr>
        <w:t xml:space="preserve">detailne </w:t>
      </w:r>
      <w:r w:rsidRPr="00DF65E4">
        <w:rPr>
          <w:rFonts w:asciiTheme="minorHAnsi" w:hAnsiTheme="minorHAnsi" w:cstheme="minorHAnsi"/>
        </w:rPr>
        <w:t>predstavil členom Správnej rady smernicu týkajúcu sa oznámení protispoločenskej činnosti a ochrane oznamovateľa v TASR. Ako uviedol,  každý zamestnanec Tlačovej agentúry Slovenskej republiky (ďalej len „TASR“)</w:t>
      </w:r>
      <w:r w:rsidRPr="00DF65E4">
        <w:rPr>
          <w:rFonts w:asciiTheme="minorHAnsi" w:eastAsia="Arial Unicode MS" w:hAnsiTheme="minorHAnsi" w:cstheme="minorHAnsi"/>
        </w:rPr>
        <w:t xml:space="preserve"> </w:t>
      </w:r>
      <w:r w:rsidRPr="00DF65E4">
        <w:rPr>
          <w:rFonts w:asciiTheme="minorHAnsi" w:hAnsiTheme="minorHAnsi" w:cstheme="minorHAnsi"/>
        </w:rPr>
        <w:t xml:space="preserve">má právo v zmysle slovenského zákona </w:t>
      </w:r>
      <w:r w:rsidRPr="00DF65E4">
        <w:rPr>
          <w:rFonts w:asciiTheme="minorHAnsi" w:hAnsiTheme="minorHAnsi" w:cstheme="minorHAnsi"/>
          <w:b/>
        </w:rPr>
        <w:t xml:space="preserve">č. 54/2019 </w:t>
      </w:r>
      <w:proofErr w:type="spellStart"/>
      <w:r w:rsidRPr="00DF65E4">
        <w:rPr>
          <w:rFonts w:asciiTheme="minorHAnsi" w:hAnsiTheme="minorHAnsi" w:cstheme="minorHAnsi"/>
          <w:b/>
        </w:rPr>
        <w:t>Z.z</w:t>
      </w:r>
      <w:proofErr w:type="spellEnd"/>
      <w:r w:rsidRPr="00DF65E4">
        <w:rPr>
          <w:rFonts w:asciiTheme="minorHAnsi" w:hAnsiTheme="minorHAnsi" w:cstheme="minorHAnsi"/>
          <w:b/>
        </w:rPr>
        <w:t>. o ochrane oznamovateľov protispoločenskej činnosti a o zmene a doplnení niektorých zákonov</w:t>
      </w:r>
      <w:r w:rsidRPr="00DF65E4">
        <w:rPr>
          <w:rFonts w:asciiTheme="minorHAnsi" w:hAnsiTheme="minorHAnsi" w:cstheme="minorHAnsi"/>
        </w:rPr>
        <w:t xml:space="preserve"> (ďalej len „Zákon“) podať: </w:t>
      </w:r>
    </w:p>
    <w:p w:rsidR="00DF65E4" w:rsidRPr="00DF65E4" w:rsidRDefault="00DF65E4" w:rsidP="00DF65E4">
      <w:pPr>
        <w:numPr>
          <w:ilvl w:val="1"/>
          <w:numId w:val="4"/>
        </w:numPr>
        <w:tabs>
          <w:tab w:val="clear" w:pos="0"/>
          <w:tab w:val="num" w:pos="284"/>
        </w:tabs>
        <w:suppressAutoHyphens/>
        <w:spacing w:after="120" w:line="240" w:lineRule="auto"/>
        <w:ind w:left="284" w:hanging="283"/>
        <w:contextualSpacing/>
        <w:jc w:val="both"/>
        <w:rPr>
          <w:rFonts w:asciiTheme="minorHAnsi" w:hAnsiTheme="minorHAnsi" w:cstheme="minorHAnsi"/>
        </w:rPr>
      </w:pPr>
      <w:r w:rsidRPr="00DF65E4">
        <w:rPr>
          <w:rFonts w:asciiTheme="minorHAnsi" w:hAnsiTheme="minorHAnsi" w:cstheme="minorHAnsi"/>
        </w:rPr>
        <w:t xml:space="preserve">oznámenie, ktorým sa rozumie </w:t>
      </w:r>
      <w:r w:rsidRPr="00DF65E4">
        <w:rPr>
          <w:rFonts w:asciiTheme="minorHAnsi" w:hAnsiTheme="minorHAnsi" w:cstheme="minorHAnsi"/>
          <w:shd w:val="clear" w:color="auto" w:fill="FFFFFF"/>
        </w:rPr>
        <w:t>uvedenie skutočností, o ktorých sa fyzická osoba (zamestnanec) dozvedela v súvislosti s výkonom svojho zamestnania, povolania, postavenia alebo funkcie alebo v súvislosti s činnosťou vo verejnom záujme a ktoré sa týkajú protispoločenskej činnosti</w:t>
      </w:r>
      <w:r w:rsidRPr="00DF65E4">
        <w:rPr>
          <w:rFonts w:asciiTheme="minorHAnsi" w:hAnsiTheme="minorHAnsi" w:cstheme="minorHAnsi"/>
        </w:rPr>
        <w:t>,</w:t>
      </w:r>
    </w:p>
    <w:p w:rsidR="00DF65E4" w:rsidRDefault="00DF65E4" w:rsidP="00DF65E4">
      <w:pPr>
        <w:numPr>
          <w:ilvl w:val="1"/>
          <w:numId w:val="4"/>
        </w:numPr>
        <w:tabs>
          <w:tab w:val="clear" w:pos="0"/>
          <w:tab w:val="num" w:pos="284"/>
        </w:tabs>
        <w:suppressAutoHyphens/>
        <w:spacing w:after="120" w:line="240" w:lineRule="auto"/>
        <w:ind w:left="284" w:hanging="283"/>
        <w:contextualSpacing/>
        <w:jc w:val="both"/>
        <w:rPr>
          <w:rFonts w:asciiTheme="minorHAnsi" w:hAnsiTheme="minorHAnsi" w:cstheme="minorHAnsi"/>
        </w:rPr>
      </w:pPr>
      <w:r w:rsidRPr="00DF65E4">
        <w:rPr>
          <w:rFonts w:asciiTheme="minorHAnsi" w:hAnsiTheme="minorHAnsi" w:cstheme="minorHAnsi"/>
        </w:rPr>
        <w:t xml:space="preserve">kvalifikované oznámenie, ktorým sa rozumie </w:t>
      </w:r>
      <w:r w:rsidRPr="00DF65E4">
        <w:rPr>
          <w:rFonts w:asciiTheme="minorHAnsi" w:hAnsiTheme="minorHAnsi" w:cstheme="minorHAnsi"/>
          <w:shd w:val="clear" w:color="auto" w:fill="FFFFFF"/>
        </w:rPr>
        <w:t>oznámenie, ktoré môže prispieť alebo prispelo k objasneniu závažnej protispoločenskej činnosti alebo k zisteniu alebo k usvedčeniu jej páchateľa</w:t>
      </w:r>
      <w:r w:rsidRPr="00DF65E4">
        <w:rPr>
          <w:rFonts w:asciiTheme="minorHAnsi" w:hAnsiTheme="minorHAnsi" w:cstheme="minorHAnsi"/>
        </w:rPr>
        <w:t>.</w:t>
      </w: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Správnej rady vzali materiál na vedomie.</w:t>
      </w: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E35196" w:rsidRDefault="00E35196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E35196" w:rsidRDefault="00E35196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DF65E4" w:rsidRDefault="00DF65E4" w:rsidP="00DF65E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DF65E4">
        <w:rPr>
          <w:rFonts w:asciiTheme="minorHAnsi" w:hAnsiTheme="minorHAnsi" w:cstheme="minorHAnsi"/>
          <w:b/>
          <w:szCs w:val="24"/>
        </w:rPr>
        <w:t>Rôzne</w:t>
      </w:r>
    </w:p>
    <w:p w:rsidR="002E2CDD" w:rsidRPr="002E2CDD" w:rsidRDefault="002E2CDD" w:rsidP="002E2CDD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Predsedníčka SR TASR A. </w:t>
      </w:r>
      <w:r w:rsidRPr="002E2CDD">
        <w:rPr>
          <w:rFonts w:asciiTheme="minorHAnsi" w:hAnsiTheme="minorHAnsi" w:cstheme="minorHAnsi"/>
          <w:szCs w:val="24"/>
        </w:rPr>
        <w:t>Mezeiová a GR informovali o</w:t>
      </w:r>
      <w:r>
        <w:rPr>
          <w:rFonts w:asciiTheme="minorHAnsi" w:hAnsiTheme="minorHAnsi" w:cstheme="minorHAnsi"/>
          <w:szCs w:val="24"/>
        </w:rPr>
        <w:t xml:space="preserve"> účasti na zasadnutí  </w:t>
      </w:r>
      <w:r w:rsidRPr="002E2CDD">
        <w:rPr>
          <w:rFonts w:asciiTheme="minorHAnsi" w:hAnsiTheme="minorHAnsi" w:cstheme="minorHAnsi"/>
          <w:szCs w:val="24"/>
        </w:rPr>
        <w:t>Výbor</w:t>
      </w:r>
      <w:r>
        <w:rPr>
          <w:rFonts w:asciiTheme="minorHAnsi" w:hAnsiTheme="minorHAnsi" w:cstheme="minorHAnsi"/>
          <w:szCs w:val="24"/>
        </w:rPr>
        <w:t>u</w:t>
      </w:r>
      <w:r w:rsidRPr="002E2CDD">
        <w:rPr>
          <w:rFonts w:asciiTheme="minorHAnsi" w:hAnsiTheme="minorHAnsi" w:cstheme="minorHAnsi"/>
          <w:szCs w:val="24"/>
        </w:rPr>
        <w:t xml:space="preserve"> pre kultúru a médiá NR SR</w:t>
      </w:r>
      <w:r>
        <w:rPr>
          <w:rFonts w:asciiTheme="minorHAnsi" w:hAnsiTheme="minorHAnsi" w:cstheme="minorHAnsi"/>
          <w:szCs w:val="24"/>
        </w:rPr>
        <w:t xml:space="preserve">, kde odprezentovali Správu o činnosti a hospodárení TASR za rok 2022. </w:t>
      </w:r>
    </w:p>
    <w:p w:rsidR="00DF65E4" w:rsidRDefault="00DF65E4" w:rsidP="00E35196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Správnej rady sa dohodli na termínoch najbližších rokovaní:  3/7, 28/8 a 19/9.</w:t>
      </w:r>
    </w:p>
    <w:p w:rsidR="00E35196" w:rsidRPr="00825309" w:rsidRDefault="00E35196" w:rsidP="00E351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825309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A. Mezeiová</w:t>
      </w:r>
      <w:r w:rsidRPr="00825309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 zasadnutie rady.</w:t>
      </w:r>
    </w:p>
    <w:p w:rsidR="00E35196" w:rsidRDefault="00E35196" w:rsidP="00E35196">
      <w:pPr>
        <w:pStyle w:val="Odsekzoznamu"/>
        <w:rPr>
          <w:rFonts w:asciiTheme="minorHAnsi" w:hAnsiTheme="minorHAnsi" w:cstheme="minorHAnsi"/>
        </w:rPr>
      </w:pPr>
    </w:p>
    <w:p w:rsidR="00E35196" w:rsidRDefault="00E35196" w:rsidP="00E35196">
      <w:pPr>
        <w:pStyle w:val="Odsekzoznamu"/>
        <w:rPr>
          <w:rFonts w:asciiTheme="minorHAnsi" w:hAnsiTheme="minorHAnsi" w:cstheme="minorHAnsi"/>
        </w:rPr>
      </w:pPr>
    </w:p>
    <w:p w:rsidR="00E35196" w:rsidRPr="00825309" w:rsidRDefault="00E35196" w:rsidP="00E35196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20. júna 2</w:t>
      </w:r>
      <w:r w:rsidRPr="00825309">
        <w:rPr>
          <w:rFonts w:asciiTheme="minorHAnsi" w:hAnsiTheme="minorHAnsi" w:cstheme="minorHAnsi"/>
        </w:rPr>
        <w:t>023</w:t>
      </w:r>
    </w:p>
    <w:p w:rsidR="00E35196" w:rsidRPr="00825309" w:rsidRDefault="00E35196" w:rsidP="00E35196">
      <w:pPr>
        <w:pStyle w:val="Odsekzoznamu"/>
        <w:rPr>
          <w:rFonts w:asciiTheme="minorHAnsi" w:hAnsiTheme="minorHAnsi" w:cstheme="minorHAnsi"/>
        </w:rPr>
      </w:pPr>
    </w:p>
    <w:p w:rsidR="00E35196" w:rsidRPr="00825309" w:rsidRDefault="00E35196" w:rsidP="00E35196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: </w:t>
      </w:r>
    </w:p>
    <w:p w:rsidR="00E35196" w:rsidRPr="00825309" w:rsidRDefault="00E35196" w:rsidP="00E35196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E35196" w:rsidRDefault="00E35196" w:rsidP="00E35196">
      <w:r>
        <w:t xml:space="preserve">  </w:t>
      </w:r>
    </w:p>
    <w:p w:rsidR="00E35196" w:rsidRDefault="00E35196" w:rsidP="00E35196"/>
    <w:p w:rsidR="00E35196" w:rsidRDefault="00E35196" w:rsidP="00E35196"/>
    <w:p w:rsidR="00E35196" w:rsidRDefault="00E35196" w:rsidP="00E35196">
      <w:r>
        <w:t xml:space="preserve">                                                                                              Alena Mezeiová v.r.</w:t>
      </w:r>
    </w:p>
    <w:p w:rsidR="00E35196" w:rsidRPr="00690FD9" w:rsidRDefault="00E35196" w:rsidP="00E35196">
      <w:pPr>
        <w:jc w:val="both"/>
        <w:rPr>
          <w:rFonts w:asciiTheme="minorHAnsi" w:hAnsiTheme="minorHAnsi" w:cs="Arial"/>
          <w:b/>
        </w:rPr>
      </w:pPr>
    </w:p>
    <w:p w:rsidR="00E35196" w:rsidRPr="00690FD9" w:rsidRDefault="00E35196" w:rsidP="00E35196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E35196" w:rsidRPr="00690FD9" w:rsidRDefault="00E35196" w:rsidP="00E35196">
      <w:pPr>
        <w:rPr>
          <w:rFonts w:asciiTheme="minorHAnsi" w:hAnsiTheme="minorHAnsi" w:cstheme="minorHAnsi"/>
        </w:rPr>
      </w:pPr>
    </w:p>
    <w:p w:rsidR="00E35196" w:rsidRPr="00690FD9" w:rsidRDefault="00E35196" w:rsidP="00E35196">
      <w:pPr>
        <w:rPr>
          <w:rFonts w:asciiTheme="minorHAnsi" w:hAnsiTheme="minorHAnsi" w:cstheme="minorHAnsi"/>
        </w:rPr>
      </w:pPr>
    </w:p>
    <w:p w:rsidR="00E35196" w:rsidRPr="00690FD9" w:rsidRDefault="00E35196" w:rsidP="00E35196">
      <w:pPr>
        <w:rPr>
          <w:rFonts w:asciiTheme="minorHAnsi" w:hAnsiTheme="minorHAnsi" w:cstheme="minorHAnsi"/>
        </w:rPr>
      </w:pPr>
    </w:p>
    <w:p w:rsidR="00E35196" w:rsidRPr="00690FD9" w:rsidRDefault="00E35196" w:rsidP="00E35196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E35196" w:rsidRPr="00690FD9" w:rsidRDefault="00E35196" w:rsidP="00E35196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E35196" w:rsidRPr="00690FD9" w:rsidRDefault="00E35196" w:rsidP="00E35196">
      <w:pPr>
        <w:rPr>
          <w:rFonts w:asciiTheme="minorHAnsi" w:hAnsiTheme="minorHAnsi" w:cstheme="minorHAnsi"/>
        </w:rPr>
      </w:pPr>
    </w:p>
    <w:p w:rsidR="00E35196" w:rsidRPr="00690FD9" w:rsidRDefault="00E35196" w:rsidP="00E35196">
      <w:pPr>
        <w:rPr>
          <w:rFonts w:asciiTheme="minorHAnsi" w:hAnsiTheme="minorHAnsi" w:cstheme="minorHAnsi"/>
        </w:rPr>
      </w:pPr>
    </w:p>
    <w:p w:rsidR="00E35196" w:rsidRPr="00DF65E4" w:rsidRDefault="00E35196" w:rsidP="00DF65E4">
      <w:pPr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theme="minorHAnsi"/>
          <w:szCs w:val="24"/>
        </w:rPr>
      </w:pPr>
    </w:p>
    <w:p w:rsidR="00DF65E4" w:rsidRPr="00DF65E4" w:rsidRDefault="00DF65E4" w:rsidP="00DF65E4">
      <w:pPr>
        <w:suppressAutoHyphens/>
        <w:spacing w:after="120" w:line="240" w:lineRule="auto"/>
        <w:ind w:left="1"/>
        <w:contextualSpacing/>
        <w:jc w:val="both"/>
        <w:rPr>
          <w:rFonts w:asciiTheme="minorHAnsi" w:hAnsiTheme="minorHAnsi" w:cstheme="minorHAnsi"/>
        </w:rPr>
      </w:pPr>
    </w:p>
    <w:p w:rsidR="00DF65E4" w:rsidRPr="00DF65E4" w:rsidRDefault="00DF65E4" w:rsidP="00DF65E4">
      <w:pPr>
        <w:jc w:val="both"/>
        <w:rPr>
          <w:rFonts w:asciiTheme="minorHAnsi" w:hAnsiTheme="minorHAnsi" w:cstheme="minorHAnsi"/>
        </w:rPr>
      </w:pPr>
    </w:p>
    <w:p w:rsidR="00DF65E4" w:rsidRPr="00DF65E4" w:rsidRDefault="00DF65E4" w:rsidP="00DF65E4">
      <w:pPr>
        <w:spacing w:after="0" w:line="240" w:lineRule="auto"/>
        <w:rPr>
          <w:rFonts w:asciiTheme="minorHAnsi" w:hAnsiTheme="minorHAnsi" w:cstheme="minorHAnsi"/>
        </w:rPr>
      </w:pPr>
    </w:p>
    <w:p w:rsidR="00DF65E4" w:rsidRPr="00DF65E4" w:rsidRDefault="00DF65E4" w:rsidP="000D3EC3">
      <w:pPr>
        <w:spacing w:line="240" w:lineRule="auto"/>
        <w:rPr>
          <w:rFonts w:asciiTheme="minorHAnsi" w:hAnsiTheme="minorHAnsi" w:cstheme="minorHAnsi"/>
        </w:rPr>
      </w:pPr>
    </w:p>
    <w:p w:rsidR="00DF65E4" w:rsidRPr="000D3EC3" w:rsidRDefault="00DF65E4" w:rsidP="000D3EC3">
      <w:pPr>
        <w:spacing w:line="240" w:lineRule="auto"/>
        <w:rPr>
          <w:rFonts w:asciiTheme="minorHAnsi" w:hAnsiTheme="minorHAnsi" w:cstheme="minorHAnsi"/>
        </w:rPr>
      </w:pPr>
    </w:p>
    <w:p w:rsidR="006C0E3A" w:rsidRPr="000D3EC3" w:rsidRDefault="006C0E3A">
      <w:pPr>
        <w:rPr>
          <w:rFonts w:asciiTheme="minorHAnsi" w:hAnsiTheme="minorHAnsi" w:cstheme="minorHAnsi"/>
        </w:rPr>
      </w:pPr>
    </w:p>
    <w:sectPr w:rsidR="006C0E3A" w:rsidRPr="000D3EC3" w:rsidSect="006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49"/>
    <w:multiLevelType w:val="hybridMultilevel"/>
    <w:tmpl w:val="E36AFF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407"/>
    <w:multiLevelType w:val="hybridMultilevel"/>
    <w:tmpl w:val="3520925C"/>
    <w:lvl w:ilvl="0" w:tplc="61625C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0A0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00793"/>
    <w:multiLevelType w:val="hybridMultilevel"/>
    <w:tmpl w:val="3520925C"/>
    <w:lvl w:ilvl="0" w:tplc="61625C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941"/>
    <w:multiLevelType w:val="hybridMultilevel"/>
    <w:tmpl w:val="3520925C"/>
    <w:lvl w:ilvl="0" w:tplc="61625C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254B"/>
    <w:multiLevelType w:val="hybridMultilevel"/>
    <w:tmpl w:val="3520925C"/>
    <w:lvl w:ilvl="0" w:tplc="61625C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47B1"/>
    <w:multiLevelType w:val="hybridMultilevel"/>
    <w:tmpl w:val="FB3A93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7218">
    <w:abstractNumId w:val="4"/>
  </w:num>
  <w:num w:numId="2" w16cid:durableId="1330989226">
    <w:abstractNumId w:val="1"/>
  </w:num>
  <w:num w:numId="3" w16cid:durableId="1705906667">
    <w:abstractNumId w:val="3"/>
  </w:num>
  <w:num w:numId="4" w16cid:durableId="7474588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391088">
    <w:abstractNumId w:val="5"/>
  </w:num>
  <w:num w:numId="6" w16cid:durableId="658266771">
    <w:abstractNumId w:val="0"/>
  </w:num>
  <w:num w:numId="7" w16cid:durableId="881598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96"/>
    <w:rsid w:val="000D3EC3"/>
    <w:rsid w:val="002E2CDD"/>
    <w:rsid w:val="005950C1"/>
    <w:rsid w:val="006C0E3A"/>
    <w:rsid w:val="00820396"/>
    <w:rsid w:val="00B16C68"/>
    <w:rsid w:val="00DF65E4"/>
    <w:rsid w:val="00E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96F5"/>
  <w15:docId w15:val="{A235BAF5-0212-4837-AE58-30DBE59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39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2023-06-21T07:37:00Z</dcterms:created>
  <dcterms:modified xsi:type="dcterms:W3CDTF">2023-06-21T09:48:00Z</dcterms:modified>
</cp:coreProperties>
</file>