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974" w:rsidRPr="007E50BB" w:rsidRDefault="001F1974" w:rsidP="001F1974">
      <w:pPr>
        <w:rPr>
          <w:rFonts w:asciiTheme="minorHAnsi" w:hAnsiTheme="minorHAnsi" w:cstheme="minorHAnsi"/>
          <w:b/>
          <w:sz w:val="20"/>
          <w:szCs w:val="20"/>
        </w:rPr>
      </w:pPr>
      <w:r>
        <w:t xml:space="preserve">                                                                   </w:t>
      </w:r>
      <w:r w:rsidR="00675A0D">
        <w:t xml:space="preserve">         </w:t>
      </w:r>
      <w:r>
        <w:rPr>
          <w:rFonts w:asciiTheme="minorHAnsi" w:hAnsiTheme="minorHAnsi" w:cstheme="minorHAnsi"/>
          <w:b/>
          <w:sz w:val="20"/>
          <w:szCs w:val="20"/>
        </w:rPr>
        <w:t>ZÁPIS č. 2</w:t>
      </w:r>
    </w:p>
    <w:p w:rsidR="001F1974" w:rsidRPr="007E50BB" w:rsidRDefault="001F1974" w:rsidP="001F1974">
      <w:pPr>
        <w:rPr>
          <w:rFonts w:asciiTheme="minorHAnsi" w:hAnsiTheme="minorHAnsi" w:cstheme="minorHAnsi"/>
          <w:b/>
          <w:sz w:val="20"/>
          <w:szCs w:val="20"/>
        </w:rPr>
      </w:pPr>
      <w:r w:rsidRPr="007E50BB">
        <w:rPr>
          <w:rFonts w:asciiTheme="minorHAnsi" w:hAnsiTheme="minorHAnsi" w:cstheme="minorHAnsi"/>
          <w:b/>
          <w:sz w:val="20"/>
          <w:szCs w:val="20"/>
        </w:rPr>
        <w:t xml:space="preserve">                                                   Z RIADNEHO ZASADNUTIA SPRÁVNEJ RADY TASR </w:t>
      </w:r>
    </w:p>
    <w:p w:rsidR="001F1974" w:rsidRDefault="001F1974" w:rsidP="001F1974">
      <w:pPr>
        <w:tabs>
          <w:tab w:val="left" w:pos="6330"/>
        </w:tabs>
        <w:rPr>
          <w:rFonts w:asciiTheme="minorHAnsi" w:hAnsiTheme="minorHAnsi" w:cstheme="minorHAnsi"/>
          <w:b/>
          <w:sz w:val="20"/>
          <w:szCs w:val="20"/>
        </w:rPr>
      </w:pPr>
      <w:r w:rsidRPr="007E50BB">
        <w:rPr>
          <w:rFonts w:asciiTheme="minorHAnsi" w:hAnsiTheme="minorHAnsi" w:cstheme="minorHAnsi"/>
          <w:b/>
          <w:sz w:val="20"/>
          <w:szCs w:val="20"/>
        </w:rPr>
        <w:t xml:space="preserve">                                                      </w:t>
      </w:r>
      <w:r>
        <w:rPr>
          <w:rFonts w:asciiTheme="minorHAnsi" w:hAnsiTheme="minorHAnsi" w:cstheme="minorHAnsi"/>
          <w:b/>
          <w:sz w:val="20"/>
          <w:szCs w:val="20"/>
        </w:rPr>
        <w:t>25. februára 2020</w:t>
      </w:r>
      <w:r w:rsidRPr="007E50BB">
        <w:rPr>
          <w:rFonts w:asciiTheme="minorHAnsi" w:hAnsiTheme="minorHAnsi" w:cstheme="minorHAnsi"/>
          <w:b/>
          <w:sz w:val="20"/>
          <w:szCs w:val="20"/>
        </w:rPr>
        <w:t xml:space="preserve"> so začiatkom o 15.00 h</w:t>
      </w:r>
    </w:p>
    <w:p w:rsidR="001F1974" w:rsidRDefault="001F1974" w:rsidP="001F1974">
      <w:pPr>
        <w:tabs>
          <w:tab w:val="left" w:pos="6330"/>
        </w:tabs>
        <w:rPr>
          <w:rFonts w:asciiTheme="minorHAnsi" w:hAnsiTheme="minorHAnsi" w:cstheme="minorHAnsi"/>
          <w:b/>
          <w:sz w:val="20"/>
          <w:szCs w:val="20"/>
        </w:rPr>
      </w:pPr>
    </w:p>
    <w:p w:rsidR="001F1974" w:rsidRPr="007E50BB" w:rsidRDefault="001F1974" w:rsidP="001F1974">
      <w:pPr>
        <w:rPr>
          <w:rFonts w:asciiTheme="minorHAnsi" w:hAnsiTheme="minorHAnsi" w:cstheme="minorHAnsi"/>
          <w:sz w:val="20"/>
          <w:szCs w:val="20"/>
        </w:rPr>
      </w:pPr>
      <w:r w:rsidRPr="007E50BB">
        <w:rPr>
          <w:rFonts w:asciiTheme="minorHAnsi" w:hAnsiTheme="minorHAnsi" w:cstheme="minorHAnsi"/>
          <w:b/>
          <w:sz w:val="20"/>
          <w:szCs w:val="20"/>
        </w:rPr>
        <w:t xml:space="preserve">Prítomní členovia Správnej rady: </w:t>
      </w:r>
      <w:r w:rsidRPr="007E50BB">
        <w:rPr>
          <w:rFonts w:asciiTheme="minorHAnsi" w:hAnsiTheme="minorHAnsi" w:cstheme="minorHAnsi"/>
          <w:sz w:val="20"/>
          <w:szCs w:val="20"/>
        </w:rPr>
        <w:t xml:space="preserve">Jozef </w:t>
      </w:r>
      <w:proofErr w:type="spellStart"/>
      <w:r w:rsidRPr="007E50BB">
        <w:rPr>
          <w:rFonts w:asciiTheme="minorHAnsi" w:hAnsiTheme="minorHAnsi" w:cstheme="minorHAnsi"/>
          <w:sz w:val="20"/>
          <w:szCs w:val="20"/>
        </w:rPr>
        <w:t>Tuhovčák</w:t>
      </w:r>
      <w:proofErr w:type="spellEnd"/>
      <w:r w:rsidRPr="007E50BB">
        <w:rPr>
          <w:rFonts w:asciiTheme="minorHAnsi" w:hAnsiTheme="minorHAnsi" w:cstheme="minorHAnsi"/>
          <w:sz w:val="20"/>
          <w:szCs w:val="20"/>
        </w:rPr>
        <w:t xml:space="preserve">, Ladislav Mikuš, </w:t>
      </w:r>
      <w:proofErr w:type="spellStart"/>
      <w:r w:rsidRPr="007E50BB">
        <w:rPr>
          <w:rFonts w:asciiTheme="minorHAnsi" w:hAnsiTheme="minorHAnsi" w:cstheme="minorHAnsi"/>
          <w:sz w:val="20"/>
          <w:szCs w:val="20"/>
        </w:rPr>
        <w:t>Árpád</w:t>
      </w:r>
      <w:proofErr w:type="spellEnd"/>
      <w:r w:rsidRPr="007E50BB">
        <w:rPr>
          <w:rFonts w:asciiTheme="minorHAnsi" w:hAnsiTheme="minorHAnsi" w:cstheme="minorHAnsi"/>
          <w:sz w:val="20"/>
          <w:szCs w:val="20"/>
        </w:rPr>
        <w:t xml:space="preserve"> </w:t>
      </w:r>
      <w:proofErr w:type="spellStart"/>
      <w:r w:rsidRPr="007E50BB">
        <w:rPr>
          <w:rFonts w:asciiTheme="minorHAnsi" w:hAnsiTheme="minorHAnsi" w:cstheme="minorHAnsi"/>
          <w:sz w:val="20"/>
          <w:szCs w:val="20"/>
        </w:rPr>
        <w:t>Korpás</w:t>
      </w:r>
      <w:proofErr w:type="spellEnd"/>
      <w:r w:rsidRPr="007E50BB">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7E50BB">
        <w:rPr>
          <w:rFonts w:asciiTheme="minorHAnsi" w:hAnsiTheme="minorHAnsi" w:cstheme="minorHAnsi"/>
          <w:sz w:val="20"/>
          <w:szCs w:val="20"/>
        </w:rPr>
        <w:t xml:space="preserve">Alena </w:t>
      </w:r>
      <w:proofErr w:type="spellStart"/>
      <w:r w:rsidRPr="007E50BB">
        <w:rPr>
          <w:rFonts w:asciiTheme="minorHAnsi" w:hAnsiTheme="minorHAnsi" w:cstheme="minorHAnsi"/>
          <w:sz w:val="20"/>
          <w:szCs w:val="20"/>
        </w:rPr>
        <w:t>Mezeiová</w:t>
      </w:r>
      <w:proofErr w:type="spellEnd"/>
      <w:r w:rsidRPr="007E50BB">
        <w:rPr>
          <w:rFonts w:asciiTheme="minorHAnsi" w:hAnsiTheme="minorHAnsi" w:cstheme="minorHAnsi"/>
          <w:sz w:val="20"/>
          <w:szCs w:val="20"/>
        </w:rPr>
        <w:t xml:space="preserve"> , Peter </w:t>
      </w:r>
      <w:proofErr w:type="spellStart"/>
      <w:r w:rsidRPr="007E50BB">
        <w:rPr>
          <w:rFonts w:asciiTheme="minorHAnsi" w:hAnsiTheme="minorHAnsi" w:cstheme="minorHAnsi"/>
          <w:sz w:val="20"/>
          <w:szCs w:val="20"/>
        </w:rPr>
        <w:t>Mestický</w:t>
      </w:r>
      <w:proofErr w:type="spellEnd"/>
    </w:p>
    <w:p w:rsidR="001F1974" w:rsidRDefault="001F1974" w:rsidP="001F1974">
      <w:pPr>
        <w:rPr>
          <w:rFonts w:asciiTheme="minorHAnsi" w:hAnsiTheme="minorHAnsi" w:cstheme="minorHAnsi"/>
          <w:sz w:val="20"/>
          <w:szCs w:val="20"/>
        </w:rPr>
      </w:pPr>
      <w:r w:rsidRPr="007E50BB">
        <w:rPr>
          <w:rFonts w:asciiTheme="minorHAnsi" w:hAnsiTheme="minorHAnsi" w:cstheme="minorHAnsi"/>
          <w:b/>
          <w:sz w:val="20"/>
          <w:szCs w:val="20"/>
        </w:rPr>
        <w:t>Ospravedlnení:</w:t>
      </w:r>
      <w:r w:rsidRPr="007E50BB">
        <w:rPr>
          <w:rFonts w:asciiTheme="minorHAnsi" w:hAnsiTheme="minorHAnsi" w:cstheme="minorHAnsi"/>
          <w:sz w:val="20"/>
          <w:szCs w:val="20"/>
        </w:rPr>
        <w:t xml:space="preserve"> </w:t>
      </w:r>
      <w:r>
        <w:rPr>
          <w:rFonts w:asciiTheme="minorHAnsi" w:hAnsiTheme="minorHAnsi" w:cstheme="minorHAnsi"/>
          <w:sz w:val="20"/>
          <w:szCs w:val="20"/>
        </w:rPr>
        <w:t>-</w:t>
      </w:r>
    </w:p>
    <w:p w:rsidR="001F1974" w:rsidRPr="007E50BB" w:rsidRDefault="001F1974" w:rsidP="001F1974">
      <w:pPr>
        <w:rPr>
          <w:rFonts w:asciiTheme="minorHAnsi" w:hAnsiTheme="minorHAnsi" w:cstheme="minorHAnsi"/>
          <w:sz w:val="20"/>
          <w:szCs w:val="20"/>
        </w:rPr>
      </w:pPr>
      <w:r w:rsidRPr="007E50BB">
        <w:rPr>
          <w:rFonts w:asciiTheme="minorHAnsi" w:hAnsiTheme="minorHAnsi" w:cstheme="minorHAnsi"/>
          <w:b/>
          <w:sz w:val="20"/>
          <w:szCs w:val="20"/>
        </w:rPr>
        <w:t xml:space="preserve">Hostia: </w:t>
      </w:r>
      <w:r w:rsidRPr="007E50BB">
        <w:rPr>
          <w:rFonts w:asciiTheme="minorHAnsi" w:hAnsiTheme="minorHAnsi" w:cstheme="minorHAnsi"/>
          <w:sz w:val="20"/>
          <w:szCs w:val="20"/>
        </w:rPr>
        <w:t>Vladimír Puchala, generálny riaditeľ TASR</w:t>
      </w:r>
    </w:p>
    <w:p w:rsidR="001F1974" w:rsidRPr="007E50BB" w:rsidRDefault="001F1974" w:rsidP="001F1974">
      <w:pPr>
        <w:rPr>
          <w:rFonts w:asciiTheme="minorHAnsi" w:hAnsiTheme="minorHAnsi" w:cstheme="minorHAnsi"/>
          <w:sz w:val="20"/>
          <w:szCs w:val="20"/>
        </w:rPr>
      </w:pPr>
      <w:r w:rsidRPr="007E50BB">
        <w:rPr>
          <w:rFonts w:asciiTheme="minorHAnsi" w:hAnsiTheme="minorHAnsi" w:cstheme="minorHAnsi"/>
          <w:b/>
          <w:sz w:val="20"/>
          <w:szCs w:val="20"/>
        </w:rPr>
        <w:t xml:space="preserve">Miesto konania: </w:t>
      </w:r>
      <w:r w:rsidRPr="007E50BB">
        <w:rPr>
          <w:rFonts w:asciiTheme="minorHAnsi" w:hAnsiTheme="minorHAnsi" w:cstheme="minorHAnsi"/>
          <w:sz w:val="20"/>
          <w:szCs w:val="20"/>
        </w:rPr>
        <w:t>TASR, Dúbravská cesta 14, Bratislava</w:t>
      </w:r>
    </w:p>
    <w:p w:rsidR="001F1974" w:rsidRPr="008B2CCD" w:rsidRDefault="001F1974" w:rsidP="001F1974">
      <w:pPr>
        <w:rPr>
          <w:rFonts w:asciiTheme="minorHAnsi" w:hAnsiTheme="minorHAnsi" w:cstheme="minorHAnsi"/>
          <w:b/>
          <w:sz w:val="20"/>
          <w:szCs w:val="20"/>
        </w:rPr>
      </w:pPr>
      <w:r w:rsidRPr="008B2CCD">
        <w:rPr>
          <w:rFonts w:asciiTheme="minorHAnsi" w:hAnsiTheme="minorHAnsi" w:cstheme="minorHAnsi"/>
          <w:b/>
          <w:sz w:val="20"/>
          <w:szCs w:val="20"/>
        </w:rPr>
        <w:t>---------------------------------------------------------------------------------------------------------------------------------------------------</w:t>
      </w:r>
    </w:p>
    <w:p w:rsidR="001F1974" w:rsidRPr="007E50BB" w:rsidRDefault="001F1974" w:rsidP="001F1974">
      <w:pPr>
        <w:rPr>
          <w:rFonts w:asciiTheme="minorHAnsi" w:hAnsiTheme="minorHAnsi" w:cstheme="minorHAnsi"/>
          <w:sz w:val="20"/>
          <w:szCs w:val="20"/>
        </w:rPr>
      </w:pPr>
      <w:r w:rsidRPr="007E50BB">
        <w:rPr>
          <w:rFonts w:asciiTheme="minorHAnsi" w:hAnsiTheme="minorHAnsi" w:cstheme="minorHAnsi"/>
          <w:sz w:val="20"/>
          <w:szCs w:val="20"/>
        </w:rPr>
        <w:t xml:space="preserve">Rokovanie v zmysle čl. 3, 5, ods. 1 a čl. 9 ods. 6 Rokovacieho poriadku SR TASR viedol predseda SR TASR Jozef </w:t>
      </w:r>
      <w:proofErr w:type="spellStart"/>
      <w:r w:rsidRPr="007E50BB">
        <w:rPr>
          <w:rFonts w:asciiTheme="minorHAnsi" w:hAnsiTheme="minorHAnsi" w:cstheme="minorHAnsi"/>
          <w:sz w:val="20"/>
          <w:szCs w:val="20"/>
        </w:rPr>
        <w:t>Tuhovčák</w:t>
      </w:r>
      <w:proofErr w:type="spellEnd"/>
      <w:r w:rsidRPr="007E50BB">
        <w:rPr>
          <w:rFonts w:asciiTheme="minorHAnsi" w:hAnsiTheme="minorHAnsi" w:cstheme="minorHAnsi"/>
          <w:sz w:val="20"/>
          <w:szCs w:val="20"/>
        </w:rPr>
        <w:t>. Konštatoval, že rada je uznášaniaschopná, navrhol program zasadnutia a dal o ňom hlasovať.</w:t>
      </w:r>
    </w:p>
    <w:p w:rsidR="001F1974" w:rsidRPr="007E50BB" w:rsidRDefault="001F1974" w:rsidP="001F1974">
      <w:pPr>
        <w:tabs>
          <w:tab w:val="left" w:pos="567"/>
        </w:tabs>
        <w:rPr>
          <w:rFonts w:asciiTheme="minorHAnsi" w:hAnsiTheme="minorHAnsi" w:cstheme="minorHAnsi"/>
          <w:sz w:val="20"/>
          <w:szCs w:val="20"/>
        </w:rPr>
      </w:pPr>
      <w:r w:rsidRPr="007E50BB">
        <w:rPr>
          <w:rFonts w:asciiTheme="minorHAnsi" w:hAnsiTheme="minorHAnsi" w:cstheme="minorHAnsi"/>
          <w:sz w:val="20"/>
          <w:szCs w:val="20"/>
        </w:rPr>
        <w:t>Program:</w:t>
      </w:r>
    </w:p>
    <w:p w:rsidR="001F1974" w:rsidRPr="001F1974" w:rsidRDefault="001F1974" w:rsidP="001F1974">
      <w:pPr>
        <w:tabs>
          <w:tab w:val="left" w:pos="567"/>
        </w:tabs>
        <w:rPr>
          <w:rFonts w:asciiTheme="minorHAnsi" w:hAnsiTheme="minorHAnsi" w:cstheme="minorHAnsi"/>
          <w:b/>
          <w:bCs/>
          <w:spacing w:val="1"/>
          <w:sz w:val="20"/>
          <w:szCs w:val="20"/>
        </w:rPr>
      </w:pPr>
      <w:r w:rsidRPr="001F1974">
        <w:rPr>
          <w:rFonts w:asciiTheme="minorHAnsi" w:hAnsiTheme="minorHAnsi" w:cstheme="minorHAnsi"/>
          <w:b/>
          <w:sz w:val="20"/>
          <w:szCs w:val="20"/>
        </w:rPr>
        <w:t xml:space="preserve">1. </w:t>
      </w:r>
      <w:r w:rsidRPr="001F1974">
        <w:rPr>
          <w:rFonts w:asciiTheme="minorHAnsi" w:hAnsiTheme="minorHAnsi" w:cstheme="minorHAnsi"/>
          <w:b/>
          <w:bCs/>
          <w:spacing w:val="1"/>
          <w:sz w:val="20"/>
          <w:szCs w:val="20"/>
        </w:rPr>
        <w:t>Správa o činnosti TASR za II. polrok 2019</w:t>
      </w:r>
    </w:p>
    <w:p w:rsidR="001F1974" w:rsidRPr="001F1974" w:rsidRDefault="001F1974" w:rsidP="001F1974">
      <w:pPr>
        <w:tabs>
          <w:tab w:val="left" w:pos="567"/>
        </w:tabs>
        <w:rPr>
          <w:rFonts w:asciiTheme="minorHAnsi" w:hAnsiTheme="minorHAnsi" w:cstheme="minorHAnsi"/>
          <w:b/>
          <w:sz w:val="20"/>
          <w:szCs w:val="20"/>
        </w:rPr>
      </w:pPr>
      <w:r w:rsidRPr="001F1974">
        <w:rPr>
          <w:rFonts w:asciiTheme="minorHAnsi" w:hAnsiTheme="minorHAnsi" w:cstheme="minorHAnsi"/>
          <w:b/>
          <w:sz w:val="20"/>
          <w:szCs w:val="20"/>
        </w:rPr>
        <w:t>2. Rôzne</w:t>
      </w:r>
    </w:p>
    <w:p w:rsidR="001F1974" w:rsidRDefault="001F1974" w:rsidP="001F1974">
      <w:pPr>
        <w:rPr>
          <w:rFonts w:asciiTheme="minorHAnsi" w:hAnsiTheme="minorHAnsi" w:cstheme="minorHAnsi"/>
          <w:b/>
          <w:sz w:val="20"/>
          <w:szCs w:val="20"/>
        </w:rPr>
      </w:pPr>
      <w:r>
        <w:rPr>
          <w:rFonts w:asciiTheme="minorHAnsi" w:hAnsiTheme="minorHAnsi" w:cstheme="minorHAnsi"/>
          <w:b/>
          <w:sz w:val="20"/>
          <w:szCs w:val="20"/>
        </w:rPr>
        <w:t>UZNESENIE č. 4/2020</w:t>
      </w:r>
      <w:r w:rsidRPr="007E50BB">
        <w:rPr>
          <w:rFonts w:asciiTheme="minorHAnsi" w:hAnsiTheme="minorHAnsi" w:cstheme="minorHAnsi"/>
          <w:b/>
          <w:sz w:val="20"/>
          <w:szCs w:val="20"/>
        </w:rPr>
        <w:t>:</w:t>
      </w:r>
    </w:p>
    <w:p w:rsidR="001F1974" w:rsidRPr="007E50BB" w:rsidRDefault="001F1974" w:rsidP="001F1974">
      <w:pPr>
        <w:rPr>
          <w:rFonts w:asciiTheme="minorHAnsi" w:hAnsiTheme="minorHAnsi" w:cstheme="minorHAnsi"/>
          <w:sz w:val="20"/>
          <w:szCs w:val="20"/>
        </w:rPr>
      </w:pPr>
      <w:r w:rsidRPr="007E50BB">
        <w:rPr>
          <w:rFonts w:asciiTheme="minorHAnsi" w:hAnsiTheme="minorHAnsi" w:cstheme="minorHAnsi"/>
          <w:sz w:val="20"/>
          <w:szCs w:val="20"/>
        </w:rPr>
        <w:t>Členovia SR TASR schválili program zasadnutia:</w:t>
      </w:r>
    </w:p>
    <w:p w:rsidR="001F1974" w:rsidRPr="007E50BB" w:rsidRDefault="001F1974" w:rsidP="001F1974">
      <w:pPr>
        <w:rPr>
          <w:rFonts w:asciiTheme="minorHAnsi" w:hAnsiTheme="minorHAnsi" w:cstheme="minorHAnsi"/>
          <w:sz w:val="20"/>
          <w:szCs w:val="20"/>
        </w:rPr>
      </w:pPr>
      <w:r>
        <w:rPr>
          <w:rFonts w:asciiTheme="minorHAnsi" w:hAnsiTheme="minorHAnsi" w:cstheme="minorHAnsi"/>
          <w:sz w:val="20"/>
          <w:szCs w:val="20"/>
        </w:rPr>
        <w:t>ZA: 5</w:t>
      </w:r>
      <w:r w:rsidRPr="007E50BB">
        <w:rPr>
          <w:rFonts w:asciiTheme="minorHAnsi" w:hAnsiTheme="minorHAnsi" w:cstheme="minorHAnsi"/>
          <w:sz w:val="20"/>
          <w:szCs w:val="20"/>
        </w:rPr>
        <w:t xml:space="preserve">                 PROTI: 0                     ZDRŽAL SA: 0</w:t>
      </w:r>
    </w:p>
    <w:p w:rsidR="001F1974" w:rsidRPr="007E50BB" w:rsidRDefault="001F1974" w:rsidP="001F1974">
      <w:pPr>
        <w:rPr>
          <w:rFonts w:asciiTheme="minorHAnsi" w:hAnsiTheme="minorHAnsi" w:cstheme="minorHAnsi"/>
          <w:b/>
          <w:sz w:val="20"/>
          <w:szCs w:val="20"/>
        </w:rPr>
      </w:pPr>
      <w:r w:rsidRPr="007E50BB">
        <w:rPr>
          <w:rFonts w:asciiTheme="minorHAnsi" w:hAnsiTheme="minorHAnsi" w:cstheme="minorHAnsi"/>
          <w:b/>
          <w:sz w:val="20"/>
          <w:szCs w:val="20"/>
        </w:rPr>
        <w:t>Uznesenie bolo prijaté.</w:t>
      </w:r>
    </w:p>
    <w:p w:rsidR="001F1974" w:rsidRDefault="001F1974" w:rsidP="001F1974">
      <w:pPr>
        <w:rPr>
          <w:rFonts w:asciiTheme="minorHAnsi" w:hAnsiTheme="minorHAnsi" w:cstheme="minorHAnsi"/>
          <w:b/>
          <w:sz w:val="20"/>
          <w:szCs w:val="20"/>
        </w:rPr>
      </w:pPr>
      <w:r>
        <w:rPr>
          <w:rFonts w:asciiTheme="minorHAnsi" w:hAnsiTheme="minorHAnsi" w:cstheme="minorHAnsi"/>
          <w:b/>
          <w:sz w:val="20"/>
          <w:szCs w:val="20"/>
        </w:rPr>
        <w:t>---------------------------------------------------------------------------------------------------------------------------------------------------</w:t>
      </w:r>
    </w:p>
    <w:p w:rsidR="001F1974" w:rsidRPr="001F1974" w:rsidRDefault="001F1974" w:rsidP="001F1974">
      <w:pPr>
        <w:tabs>
          <w:tab w:val="left" w:pos="567"/>
        </w:tabs>
        <w:rPr>
          <w:rFonts w:asciiTheme="minorHAnsi" w:hAnsiTheme="minorHAnsi" w:cstheme="minorHAnsi"/>
          <w:b/>
          <w:bCs/>
          <w:spacing w:val="1"/>
          <w:sz w:val="20"/>
          <w:szCs w:val="20"/>
        </w:rPr>
      </w:pPr>
      <w:r w:rsidRPr="001F1974">
        <w:rPr>
          <w:rFonts w:asciiTheme="minorHAnsi" w:hAnsiTheme="minorHAnsi" w:cstheme="minorHAnsi"/>
          <w:b/>
          <w:sz w:val="20"/>
          <w:szCs w:val="20"/>
        </w:rPr>
        <w:t xml:space="preserve">1. </w:t>
      </w:r>
      <w:r w:rsidRPr="001F1974">
        <w:rPr>
          <w:rFonts w:asciiTheme="minorHAnsi" w:hAnsiTheme="minorHAnsi" w:cstheme="minorHAnsi"/>
          <w:b/>
          <w:bCs/>
          <w:spacing w:val="1"/>
          <w:sz w:val="20"/>
          <w:szCs w:val="20"/>
        </w:rPr>
        <w:t>Správa o činnosti TASR za II. polrok 2019</w:t>
      </w:r>
    </w:p>
    <w:p w:rsidR="001F1974" w:rsidRPr="001F1974" w:rsidRDefault="001F1974" w:rsidP="001F1974">
      <w:pPr>
        <w:widowControl w:val="0"/>
        <w:autoSpaceDE w:val="0"/>
        <w:autoSpaceDN w:val="0"/>
        <w:adjustRightInd w:val="0"/>
        <w:spacing w:after="120"/>
        <w:ind w:right="57"/>
        <w:jc w:val="both"/>
        <w:rPr>
          <w:rFonts w:cs="Calibri"/>
          <w:i/>
          <w:spacing w:val="2"/>
          <w:sz w:val="20"/>
          <w:szCs w:val="20"/>
        </w:rPr>
      </w:pPr>
      <w:r>
        <w:rPr>
          <w:rFonts w:asciiTheme="minorHAnsi" w:hAnsiTheme="minorHAnsi" w:cstheme="minorHAnsi"/>
          <w:sz w:val="20"/>
          <w:szCs w:val="20"/>
        </w:rPr>
        <w:t xml:space="preserve">Podľa V. </w:t>
      </w:r>
      <w:proofErr w:type="spellStart"/>
      <w:r>
        <w:rPr>
          <w:rFonts w:asciiTheme="minorHAnsi" w:hAnsiTheme="minorHAnsi" w:cstheme="minorHAnsi"/>
          <w:sz w:val="20"/>
          <w:szCs w:val="20"/>
        </w:rPr>
        <w:t>Puchalu</w:t>
      </w:r>
      <w:proofErr w:type="spellEnd"/>
      <w:r w:rsidRPr="001F1974">
        <w:rPr>
          <w:rFonts w:cs="Calibri"/>
          <w:i/>
          <w:sz w:val="20"/>
          <w:szCs w:val="20"/>
        </w:rPr>
        <w:t xml:space="preserve"> TASR </w:t>
      </w:r>
      <w:r w:rsidR="00B90418">
        <w:rPr>
          <w:rFonts w:cs="Calibri"/>
          <w:i/>
          <w:sz w:val="20"/>
          <w:szCs w:val="20"/>
        </w:rPr>
        <w:t xml:space="preserve">úlohy, ktoré </w:t>
      </w:r>
      <w:r w:rsidRPr="001F1974">
        <w:rPr>
          <w:rFonts w:cs="Calibri"/>
          <w:i/>
          <w:sz w:val="20"/>
          <w:szCs w:val="20"/>
        </w:rPr>
        <w:t>vy</w:t>
      </w:r>
      <w:r w:rsidRPr="001F1974">
        <w:rPr>
          <w:rFonts w:cs="Calibri"/>
          <w:i/>
          <w:spacing w:val="1"/>
          <w:sz w:val="20"/>
          <w:szCs w:val="20"/>
        </w:rPr>
        <w:t>p</w:t>
      </w:r>
      <w:r w:rsidRPr="001F1974">
        <w:rPr>
          <w:rFonts w:cs="Calibri"/>
          <w:i/>
          <w:sz w:val="20"/>
          <w:szCs w:val="20"/>
        </w:rPr>
        <w:t xml:space="preserve">lývajú </w:t>
      </w:r>
      <w:r w:rsidRPr="001F1974">
        <w:rPr>
          <w:rFonts w:cs="Calibri"/>
          <w:i/>
          <w:spacing w:val="1"/>
          <w:sz w:val="20"/>
          <w:szCs w:val="20"/>
        </w:rPr>
        <w:t>z</w:t>
      </w:r>
      <w:r w:rsidRPr="001F1974">
        <w:rPr>
          <w:rFonts w:cs="Calibri"/>
          <w:i/>
          <w:sz w:val="20"/>
          <w:szCs w:val="20"/>
        </w:rPr>
        <w:t xml:space="preserve">o </w:t>
      </w:r>
      <w:r w:rsidRPr="001F1974">
        <w:rPr>
          <w:rFonts w:cs="Calibri"/>
          <w:i/>
          <w:spacing w:val="1"/>
          <w:sz w:val="20"/>
          <w:szCs w:val="20"/>
        </w:rPr>
        <w:t>z</w:t>
      </w:r>
      <w:r w:rsidRPr="001F1974">
        <w:rPr>
          <w:rFonts w:cs="Calibri"/>
          <w:i/>
          <w:sz w:val="20"/>
          <w:szCs w:val="20"/>
        </w:rPr>
        <w:t>á</w:t>
      </w:r>
      <w:r w:rsidRPr="001F1974">
        <w:rPr>
          <w:rFonts w:cs="Calibri"/>
          <w:i/>
          <w:spacing w:val="-1"/>
          <w:sz w:val="20"/>
          <w:szCs w:val="20"/>
        </w:rPr>
        <w:t>k</w:t>
      </w:r>
      <w:r w:rsidRPr="001F1974">
        <w:rPr>
          <w:rFonts w:cs="Calibri"/>
          <w:i/>
          <w:sz w:val="20"/>
          <w:szCs w:val="20"/>
        </w:rPr>
        <w:t>o</w:t>
      </w:r>
      <w:r w:rsidRPr="001F1974">
        <w:rPr>
          <w:rFonts w:cs="Calibri"/>
          <w:i/>
          <w:spacing w:val="-1"/>
          <w:sz w:val="20"/>
          <w:szCs w:val="20"/>
        </w:rPr>
        <w:t>n</w:t>
      </w:r>
      <w:r w:rsidRPr="001F1974">
        <w:rPr>
          <w:rFonts w:cs="Calibri"/>
          <w:i/>
          <w:sz w:val="20"/>
          <w:szCs w:val="20"/>
        </w:rPr>
        <w:t>a č.</w:t>
      </w:r>
      <w:r w:rsidRPr="001F1974">
        <w:rPr>
          <w:rFonts w:cs="Calibri"/>
          <w:i/>
          <w:spacing w:val="7"/>
          <w:sz w:val="20"/>
          <w:szCs w:val="20"/>
        </w:rPr>
        <w:t xml:space="preserve"> </w:t>
      </w:r>
      <w:r w:rsidRPr="001F1974">
        <w:rPr>
          <w:rFonts w:cs="Calibri"/>
          <w:i/>
          <w:spacing w:val="1"/>
          <w:sz w:val="20"/>
          <w:szCs w:val="20"/>
        </w:rPr>
        <w:t>385</w:t>
      </w:r>
      <w:r w:rsidRPr="001F1974">
        <w:rPr>
          <w:rFonts w:cs="Calibri"/>
          <w:i/>
          <w:spacing w:val="-1"/>
          <w:sz w:val="20"/>
          <w:szCs w:val="20"/>
        </w:rPr>
        <w:t>/</w:t>
      </w:r>
      <w:r w:rsidRPr="001F1974">
        <w:rPr>
          <w:rFonts w:cs="Calibri"/>
          <w:i/>
          <w:spacing w:val="1"/>
          <w:sz w:val="20"/>
          <w:szCs w:val="20"/>
        </w:rPr>
        <w:t>20</w:t>
      </w:r>
      <w:r w:rsidRPr="001F1974">
        <w:rPr>
          <w:rFonts w:cs="Calibri"/>
          <w:i/>
          <w:spacing w:val="-1"/>
          <w:sz w:val="20"/>
          <w:szCs w:val="20"/>
        </w:rPr>
        <w:t>0</w:t>
      </w:r>
      <w:r w:rsidRPr="001F1974">
        <w:rPr>
          <w:rFonts w:cs="Calibri"/>
          <w:i/>
          <w:sz w:val="20"/>
          <w:szCs w:val="20"/>
        </w:rPr>
        <w:t>8</w:t>
      </w:r>
      <w:r w:rsidRPr="001F1974">
        <w:rPr>
          <w:rFonts w:cs="Calibri"/>
          <w:i/>
          <w:spacing w:val="8"/>
          <w:sz w:val="20"/>
          <w:szCs w:val="20"/>
        </w:rPr>
        <w:t xml:space="preserve"> </w:t>
      </w:r>
      <w:r w:rsidRPr="001F1974">
        <w:rPr>
          <w:rFonts w:cs="Calibri"/>
          <w:i/>
          <w:sz w:val="20"/>
          <w:szCs w:val="20"/>
        </w:rPr>
        <w:t>Z.</w:t>
      </w:r>
      <w:r w:rsidRPr="001F1974">
        <w:rPr>
          <w:rFonts w:cs="Calibri"/>
          <w:i/>
          <w:spacing w:val="5"/>
          <w:sz w:val="20"/>
          <w:szCs w:val="20"/>
        </w:rPr>
        <w:t xml:space="preserve"> </w:t>
      </w:r>
      <w:r w:rsidRPr="001F1974">
        <w:rPr>
          <w:rFonts w:cs="Calibri"/>
          <w:i/>
          <w:spacing w:val="1"/>
          <w:sz w:val="20"/>
          <w:szCs w:val="20"/>
        </w:rPr>
        <w:t>z</w:t>
      </w:r>
      <w:r w:rsidRPr="001F1974">
        <w:rPr>
          <w:rFonts w:cs="Calibri"/>
          <w:i/>
          <w:sz w:val="20"/>
          <w:szCs w:val="20"/>
        </w:rPr>
        <w:t>.</w:t>
      </w:r>
      <w:r w:rsidRPr="001F1974">
        <w:rPr>
          <w:rFonts w:cs="Calibri"/>
          <w:i/>
          <w:spacing w:val="8"/>
          <w:sz w:val="20"/>
          <w:szCs w:val="20"/>
        </w:rPr>
        <w:t xml:space="preserve"> </w:t>
      </w:r>
      <w:r w:rsidRPr="001F1974">
        <w:rPr>
          <w:rFonts w:cs="Calibri"/>
          <w:i/>
          <w:sz w:val="20"/>
          <w:szCs w:val="20"/>
        </w:rPr>
        <w:t>o</w:t>
      </w:r>
      <w:r w:rsidRPr="001F1974">
        <w:rPr>
          <w:rFonts w:cs="Calibri"/>
          <w:i/>
          <w:spacing w:val="-1"/>
          <w:sz w:val="20"/>
          <w:szCs w:val="20"/>
        </w:rPr>
        <w:t xml:space="preserve"> </w:t>
      </w:r>
      <w:r w:rsidRPr="001F1974">
        <w:rPr>
          <w:rFonts w:cs="Calibri"/>
          <w:i/>
          <w:sz w:val="20"/>
          <w:szCs w:val="20"/>
        </w:rPr>
        <w:t>Tlač</w:t>
      </w:r>
      <w:r w:rsidRPr="001F1974">
        <w:rPr>
          <w:rFonts w:cs="Calibri"/>
          <w:i/>
          <w:spacing w:val="-2"/>
          <w:sz w:val="20"/>
          <w:szCs w:val="20"/>
        </w:rPr>
        <w:t>o</w:t>
      </w:r>
      <w:r w:rsidRPr="001F1974">
        <w:rPr>
          <w:rFonts w:cs="Calibri"/>
          <w:i/>
          <w:sz w:val="20"/>
          <w:szCs w:val="20"/>
        </w:rPr>
        <w:t>vej</w:t>
      </w:r>
      <w:r w:rsidRPr="001F1974">
        <w:rPr>
          <w:rFonts w:cs="Calibri"/>
          <w:i/>
          <w:spacing w:val="8"/>
          <w:sz w:val="20"/>
          <w:szCs w:val="20"/>
        </w:rPr>
        <w:t xml:space="preserve"> </w:t>
      </w:r>
      <w:r w:rsidRPr="001F1974">
        <w:rPr>
          <w:rFonts w:cs="Calibri"/>
          <w:i/>
          <w:sz w:val="20"/>
          <w:szCs w:val="20"/>
        </w:rPr>
        <w:t>ag</w:t>
      </w:r>
      <w:r w:rsidRPr="001F1974">
        <w:rPr>
          <w:rFonts w:cs="Calibri"/>
          <w:i/>
          <w:spacing w:val="-2"/>
          <w:sz w:val="20"/>
          <w:szCs w:val="20"/>
        </w:rPr>
        <w:t>e</w:t>
      </w:r>
      <w:r w:rsidRPr="001F1974">
        <w:rPr>
          <w:rFonts w:cs="Calibri"/>
          <w:i/>
          <w:spacing w:val="1"/>
          <w:sz w:val="20"/>
          <w:szCs w:val="20"/>
        </w:rPr>
        <w:t>n</w:t>
      </w:r>
      <w:r w:rsidRPr="001F1974">
        <w:rPr>
          <w:rFonts w:cs="Calibri"/>
          <w:i/>
          <w:spacing w:val="-1"/>
          <w:sz w:val="20"/>
          <w:szCs w:val="20"/>
        </w:rPr>
        <w:t>t</w:t>
      </w:r>
      <w:r w:rsidRPr="001F1974">
        <w:rPr>
          <w:rFonts w:cs="Calibri"/>
          <w:i/>
          <w:spacing w:val="1"/>
          <w:sz w:val="20"/>
          <w:szCs w:val="20"/>
        </w:rPr>
        <w:t>ú</w:t>
      </w:r>
      <w:r w:rsidRPr="001F1974">
        <w:rPr>
          <w:rFonts w:cs="Calibri"/>
          <w:i/>
          <w:sz w:val="20"/>
          <w:szCs w:val="20"/>
        </w:rPr>
        <w:t>re</w:t>
      </w:r>
      <w:r w:rsidRPr="001F1974">
        <w:rPr>
          <w:rFonts w:cs="Calibri"/>
          <w:i/>
          <w:spacing w:val="6"/>
          <w:sz w:val="20"/>
          <w:szCs w:val="20"/>
        </w:rPr>
        <w:t xml:space="preserve"> </w:t>
      </w:r>
      <w:r w:rsidRPr="001F1974">
        <w:rPr>
          <w:rFonts w:cs="Calibri"/>
          <w:i/>
          <w:sz w:val="20"/>
          <w:szCs w:val="20"/>
        </w:rPr>
        <w:t>Slove</w:t>
      </w:r>
      <w:r w:rsidRPr="001F1974">
        <w:rPr>
          <w:rFonts w:cs="Calibri"/>
          <w:i/>
          <w:spacing w:val="1"/>
          <w:sz w:val="20"/>
          <w:szCs w:val="20"/>
        </w:rPr>
        <w:t>n</w:t>
      </w:r>
      <w:r w:rsidRPr="001F1974">
        <w:rPr>
          <w:rFonts w:cs="Calibri"/>
          <w:i/>
          <w:sz w:val="20"/>
          <w:szCs w:val="20"/>
        </w:rPr>
        <w:t>s</w:t>
      </w:r>
      <w:r w:rsidRPr="001F1974">
        <w:rPr>
          <w:rFonts w:cs="Calibri"/>
          <w:i/>
          <w:spacing w:val="-1"/>
          <w:sz w:val="20"/>
          <w:szCs w:val="20"/>
        </w:rPr>
        <w:t>k</w:t>
      </w:r>
      <w:r w:rsidRPr="001F1974">
        <w:rPr>
          <w:rFonts w:cs="Calibri"/>
          <w:i/>
          <w:sz w:val="20"/>
          <w:szCs w:val="20"/>
        </w:rPr>
        <w:t>ej</w:t>
      </w:r>
      <w:r w:rsidRPr="001F1974">
        <w:rPr>
          <w:rFonts w:cs="Calibri"/>
          <w:i/>
          <w:spacing w:val="3"/>
          <w:sz w:val="20"/>
          <w:szCs w:val="20"/>
        </w:rPr>
        <w:t xml:space="preserve"> </w:t>
      </w:r>
      <w:r w:rsidRPr="001F1974">
        <w:rPr>
          <w:rFonts w:cs="Calibri"/>
          <w:i/>
          <w:sz w:val="20"/>
          <w:szCs w:val="20"/>
        </w:rPr>
        <w:t>re</w:t>
      </w:r>
      <w:r w:rsidRPr="001F1974">
        <w:rPr>
          <w:rFonts w:cs="Calibri"/>
          <w:i/>
          <w:spacing w:val="1"/>
          <w:sz w:val="20"/>
          <w:szCs w:val="20"/>
        </w:rPr>
        <w:t>p</w:t>
      </w:r>
      <w:r w:rsidRPr="001F1974">
        <w:rPr>
          <w:rFonts w:cs="Calibri"/>
          <w:i/>
          <w:spacing w:val="-1"/>
          <w:sz w:val="20"/>
          <w:szCs w:val="20"/>
        </w:rPr>
        <w:t>u</w:t>
      </w:r>
      <w:r w:rsidRPr="001F1974">
        <w:rPr>
          <w:rFonts w:cs="Calibri"/>
          <w:i/>
          <w:spacing w:val="1"/>
          <w:sz w:val="20"/>
          <w:szCs w:val="20"/>
        </w:rPr>
        <w:t>b</w:t>
      </w:r>
      <w:r w:rsidRPr="001F1974">
        <w:rPr>
          <w:rFonts w:cs="Calibri"/>
          <w:i/>
          <w:sz w:val="20"/>
          <w:szCs w:val="20"/>
        </w:rPr>
        <w:t>li</w:t>
      </w:r>
      <w:r w:rsidRPr="001F1974">
        <w:rPr>
          <w:rFonts w:cs="Calibri"/>
          <w:i/>
          <w:spacing w:val="-1"/>
          <w:sz w:val="20"/>
          <w:szCs w:val="20"/>
        </w:rPr>
        <w:t>k</w:t>
      </w:r>
      <w:r w:rsidRPr="001F1974">
        <w:rPr>
          <w:rFonts w:cs="Calibri"/>
          <w:i/>
          <w:sz w:val="20"/>
          <w:szCs w:val="20"/>
        </w:rPr>
        <w:t>y</w:t>
      </w:r>
      <w:r w:rsidRPr="001F1974">
        <w:rPr>
          <w:rFonts w:cs="Calibri"/>
          <w:i/>
          <w:spacing w:val="7"/>
          <w:sz w:val="20"/>
          <w:szCs w:val="20"/>
        </w:rPr>
        <w:t xml:space="preserve"> </w:t>
      </w:r>
      <w:r w:rsidRPr="001F1974">
        <w:rPr>
          <w:rFonts w:cs="Calibri"/>
          <w:i/>
          <w:sz w:val="20"/>
          <w:szCs w:val="20"/>
        </w:rPr>
        <w:t>a</w:t>
      </w:r>
      <w:r w:rsidRPr="001F1974">
        <w:rPr>
          <w:rFonts w:cs="Calibri"/>
          <w:i/>
          <w:spacing w:val="4"/>
          <w:sz w:val="20"/>
          <w:szCs w:val="20"/>
        </w:rPr>
        <w:t xml:space="preserve"> </w:t>
      </w:r>
      <w:r w:rsidRPr="001F1974">
        <w:rPr>
          <w:rFonts w:cs="Calibri"/>
          <w:i/>
          <w:sz w:val="20"/>
          <w:szCs w:val="20"/>
        </w:rPr>
        <w:t>o</w:t>
      </w:r>
      <w:r w:rsidRPr="001F1974">
        <w:rPr>
          <w:rFonts w:cs="Calibri"/>
          <w:i/>
          <w:spacing w:val="2"/>
          <w:sz w:val="20"/>
          <w:szCs w:val="20"/>
        </w:rPr>
        <w:t xml:space="preserve"> </w:t>
      </w:r>
      <w:r w:rsidRPr="001F1974">
        <w:rPr>
          <w:rFonts w:cs="Calibri"/>
          <w:i/>
          <w:spacing w:val="-1"/>
          <w:sz w:val="20"/>
          <w:szCs w:val="20"/>
        </w:rPr>
        <w:t>z</w:t>
      </w:r>
      <w:r w:rsidRPr="001F1974">
        <w:rPr>
          <w:rFonts w:cs="Calibri"/>
          <w:i/>
          <w:sz w:val="20"/>
          <w:szCs w:val="20"/>
        </w:rPr>
        <w:t>me</w:t>
      </w:r>
      <w:r w:rsidRPr="001F1974">
        <w:rPr>
          <w:rFonts w:cs="Calibri"/>
          <w:i/>
          <w:spacing w:val="1"/>
          <w:sz w:val="20"/>
          <w:szCs w:val="20"/>
        </w:rPr>
        <w:t>n</w:t>
      </w:r>
      <w:r w:rsidRPr="001F1974">
        <w:rPr>
          <w:rFonts w:cs="Calibri"/>
          <w:i/>
          <w:sz w:val="20"/>
          <w:szCs w:val="20"/>
        </w:rPr>
        <w:t>e</w:t>
      </w:r>
      <w:r w:rsidRPr="001F1974">
        <w:rPr>
          <w:rFonts w:cs="Calibri"/>
          <w:i/>
          <w:spacing w:val="4"/>
          <w:sz w:val="20"/>
          <w:szCs w:val="20"/>
        </w:rPr>
        <w:t xml:space="preserve"> </w:t>
      </w:r>
      <w:r w:rsidRPr="001F1974">
        <w:rPr>
          <w:rFonts w:cs="Calibri"/>
          <w:i/>
          <w:spacing w:val="1"/>
          <w:sz w:val="20"/>
          <w:szCs w:val="20"/>
        </w:rPr>
        <w:t>n</w:t>
      </w:r>
      <w:r w:rsidRPr="001F1974">
        <w:rPr>
          <w:rFonts w:cs="Calibri"/>
          <w:i/>
          <w:sz w:val="20"/>
          <w:szCs w:val="20"/>
        </w:rPr>
        <w:t>ie</w:t>
      </w:r>
      <w:r w:rsidRPr="001F1974">
        <w:rPr>
          <w:rFonts w:cs="Calibri"/>
          <w:i/>
          <w:spacing w:val="-1"/>
          <w:sz w:val="20"/>
          <w:szCs w:val="20"/>
        </w:rPr>
        <w:t>k</w:t>
      </w:r>
      <w:r w:rsidRPr="001F1974">
        <w:rPr>
          <w:rFonts w:cs="Calibri"/>
          <w:i/>
          <w:spacing w:val="1"/>
          <w:sz w:val="20"/>
          <w:szCs w:val="20"/>
        </w:rPr>
        <w:t>t</w:t>
      </w:r>
      <w:r w:rsidRPr="001F1974">
        <w:rPr>
          <w:rFonts w:cs="Calibri"/>
          <w:i/>
          <w:sz w:val="20"/>
          <w:szCs w:val="20"/>
        </w:rPr>
        <w:t>orých</w:t>
      </w:r>
      <w:r w:rsidRPr="001F1974">
        <w:rPr>
          <w:rFonts w:cs="Calibri"/>
          <w:i/>
          <w:spacing w:val="6"/>
          <w:sz w:val="20"/>
          <w:szCs w:val="20"/>
        </w:rPr>
        <w:t xml:space="preserve"> </w:t>
      </w:r>
      <w:r w:rsidRPr="001F1974">
        <w:rPr>
          <w:rFonts w:cs="Calibri"/>
          <w:i/>
          <w:spacing w:val="1"/>
          <w:sz w:val="20"/>
          <w:szCs w:val="20"/>
        </w:rPr>
        <w:t>z</w:t>
      </w:r>
      <w:r w:rsidRPr="001F1974">
        <w:rPr>
          <w:rFonts w:cs="Calibri"/>
          <w:i/>
          <w:sz w:val="20"/>
          <w:szCs w:val="20"/>
        </w:rPr>
        <w:t>á</w:t>
      </w:r>
      <w:r w:rsidRPr="001F1974">
        <w:rPr>
          <w:rFonts w:cs="Calibri"/>
          <w:i/>
          <w:spacing w:val="-1"/>
          <w:sz w:val="20"/>
          <w:szCs w:val="20"/>
        </w:rPr>
        <w:t>k</w:t>
      </w:r>
      <w:r w:rsidRPr="001F1974">
        <w:rPr>
          <w:rFonts w:cs="Calibri"/>
          <w:i/>
          <w:sz w:val="20"/>
          <w:szCs w:val="20"/>
        </w:rPr>
        <w:t>o</w:t>
      </w:r>
      <w:r w:rsidRPr="001F1974">
        <w:rPr>
          <w:rFonts w:cs="Calibri"/>
          <w:i/>
          <w:spacing w:val="-1"/>
          <w:sz w:val="20"/>
          <w:szCs w:val="20"/>
        </w:rPr>
        <w:t>n</w:t>
      </w:r>
      <w:r w:rsidRPr="001F1974">
        <w:rPr>
          <w:rFonts w:cs="Calibri"/>
          <w:i/>
          <w:sz w:val="20"/>
          <w:szCs w:val="20"/>
        </w:rPr>
        <w:t>ov</w:t>
      </w:r>
      <w:r w:rsidRPr="001F1974">
        <w:rPr>
          <w:rFonts w:cs="Calibri"/>
          <w:i/>
          <w:spacing w:val="9"/>
          <w:sz w:val="20"/>
          <w:szCs w:val="20"/>
        </w:rPr>
        <w:t xml:space="preserve"> </w:t>
      </w:r>
      <w:r w:rsidRPr="001F1974">
        <w:rPr>
          <w:rFonts w:cs="Calibri"/>
          <w:b/>
          <w:i/>
          <w:spacing w:val="9"/>
          <w:sz w:val="20"/>
          <w:szCs w:val="20"/>
        </w:rPr>
        <w:t>agentúra v druhom</w:t>
      </w:r>
      <w:r w:rsidRPr="001F1974">
        <w:rPr>
          <w:rFonts w:cs="Calibri"/>
          <w:b/>
          <w:i/>
          <w:spacing w:val="1"/>
          <w:sz w:val="20"/>
          <w:szCs w:val="20"/>
        </w:rPr>
        <w:t xml:space="preserve"> </w:t>
      </w:r>
      <w:r w:rsidRPr="001F1974">
        <w:rPr>
          <w:rFonts w:cs="Calibri"/>
          <w:b/>
          <w:i/>
          <w:spacing w:val="-1"/>
          <w:sz w:val="20"/>
          <w:szCs w:val="20"/>
        </w:rPr>
        <w:t>p</w:t>
      </w:r>
      <w:r w:rsidRPr="001F1974">
        <w:rPr>
          <w:rFonts w:cs="Calibri"/>
          <w:b/>
          <w:i/>
          <w:sz w:val="20"/>
          <w:szCs w:val="20"/>
        </w:rPr>
        <w:t>olro</w:t>
      </w:r>
      <w:r w:rsidRPr="001F1974">
        <w:rPr>
          <w:rFonts w:cs="Calibri"/>
          <w:b/>
          <w:i/>
          <w:spacing w:val="-1"/>
          <w:sz w:val="20"/>
          <w:szCs w:val="20"/>
        </w:rPr>
        <w:t>k</w:t>
      </w:r>
      <w:r w:rsidRPr="001F1974">
        <w:rPr>
          <w:rFonts w:cs="Calibri"/>
          <w:b/>
          <w:i/>
          <w:sz w:val="20"/>
          <w:szCs w:val="20"/>
        </w:rPr>
        <w:t>u</w:t>
      </w:r>
      <w:r w:rsidRPr="001F1974">
        <w:rPr>
          <w:rFonts w:cs="Calibri"/>
          <w:b/>
          <w:i/>
          <w:spacing w:val="38"/>
          <w:sz w:val="20"/>
          <w:szCs w:val="20"/>
        </w:rPr>
        <w:t xml:space="preserve"> </w:t>
      </w:r>
      <w:r w:rsidRPr="001F1974">
        <w:rPr>
          <w:rFonts w:cs="Calibri"/>
          <w:b/>
          <w:i/>
          <w:spacing w:val="1"/>
          <w:sz w:val="20"/>
          <w:szCs w:val="20"/>
        </w:rPr>
        <w:t>2</w:t>
      </w:r>
      <w:r w:rsidRPr="001F1974">
        <w:rPr>
          <w:rFonts w:cs="Calibri"/>
          <w:b/>
          <w:i/>
          <w:spacing w:val="-1"/>
          <w:sz w:val="20"/>
          <w:szCs w:val="20"/>
        </w:rPr>
        <w:t>0</w:t>
      </w:r>
      <w:r w:rsidRPr="001F1974">
        <w:rPr>
          <w:rFonts w:cs="Calibri"/>
          <w:b/>
          <w:i/>
          <w:spacing w:val="1"/>
          <w:sz w:val="20"/>
          <w:szCs w:val="20"/>
        </w:rPr>
        <w:t>1</w:t>
      </w:r>
      <w:r w:rsidRPr="001F1974">
        <w:rPr>
          <w:rFonts w:cs="Calibri"/>
          <w:b/>
          <w:i/>
          <w:sz w:val="20"/>
          <w:szCs w:val="20"/>
        </w:rPr>
        <w:t>9</w:t>
      </w:r>
      <w:r w:rsidRPr="001F1974">
        <w:rPr>
          <w:rFonts w:cs="Calibri"/>
          <w:b/>
          <w:i/>
          <w:spacing w:val="40"/>
          <w:sz w:val="20"/>
          <w:szCs w:val="20"/>
        </w:rPr>
        <w:t xml:space="preserve"> </w:t>
      </w:r>
      <w:r w:rsidRPr="001F1974">
        <w:rPr>
          <w:rFonts w:cs="Calibri"/>
          <w:b/>
          <w:i/>
          <w:sz w:val="20"/>
          <w:szCs w:val="20"/>
        </w:rPr>
        <w:t>s</w:t>
      </w:r>
      <w:r w:rsidRPr="001F1974">
        <w:rPr>
          <w:rFonts w:cs="Calibri"/>
          <w:b/>
          <w:i/>
          <w:spacing w:val="1"/>
          <w:sz w:val="20"/>
          <w:szCs w:val="20"/>
        </w:rPr>
        <w:t>p</w:t>
      </w:r>
      <w:r w:rsidRPr="001F1974">
        <w:rPr>
          <w:rFonts w:cs="Calibri"/>
          <w:b/>
          <w:i/>
          <w:spacing w:val="-2"/>
          <w:sz w:val="20"/>
          <w:szCs w:val="20"/>
        </w:rPr>
        <w:t>l</w:t>
      </w:r>
      <w:r w:rsidRPr="001F1974">
        <w:rPr>
          <w:rFonts w:cs="Calibri"/>
          <w:b/>
          <w:i/>
          <w:spacing w:val="1"/>
          <w:sz w:val="20"/>
          <w:szCs w:val="20"/>
        </w:rPr>
        <w:t>n</w:t>
      </w:r>
      <w:r w:rsidRPr="001F1974">
        <w:rPr>
          <w:rFonts w:cs="Calibri"/>
          <w:b/>
          <w:i/>
          <w:sz w:val="20"/>
          <w:szCs w:val="20"/>
        </w:rPr>
        <w:t>ila.</w:t>
      </w:r>
      <w:r w:rsidRPr="001F1974">
        <w:rPr>
          <w:rFonts w:cs="Calibri"/>
          <w:i/>
          <w:spacing w:val="39"/>
          <w:sz w:val="20"/>
          <w:szCs w:val="20"/>
        </w:rPr>
        <w:t xml:space="preserve"> </w:t>
      </w:r>
    </w:p>
    <w:p w:rsidR="001F1974" w:rsidRPr="001F1974" w:rsidRDefault="001F1974" w:rsidP="001F1974">
      <w:pPr>
        <w:widowControl w:val="0"/>
        <w:autoSpaceDE w:val="0"/>
        <w:autoSpaceDN w:val="0"/>
        <w:adjustRightInd w:val="0"/>
        <w:spacing w:after="120"/>
        <w:ind w:right="93"/>
        <w:jc w:val="both"/>
        <w:rPr>
          <w:rFonts w:cs="Calibri"/>
          <w:i/>
          <w:sz w:val="20"/>
          <w:szCs w:val="20"/>
        </w:rPr>
      </w:pPr>
      <w:r w:rsidRPr="001F1974">
        <w:rPr>
          <w:rFonts w:cs="Calibri"/>
          <w:bCs/>
          <w:i/>
          <w:spacing w:val="-1"/>
          <w:sz w:val="20"/>
          <w:szCs w:val="20"/>
        </w:rPr>
        <w:t xml:space="preserve">     T</w:t>
      </w:r>
      <w:r w:rsidRPr="001F1974">
        <w:rPr>
          <w:rFonts w:cs="Calibri"/>
          <w:bCs/>
          <w:i/>
          <w:spacing w:val="1"/>
          <w:sz w:val="20"/>
          <w:szCs w:val="20"/>
        </w:rPr>
        <w:t>A</w:t>
      </w:r>
      <w:r w:rsidRPr="001F1974">
        <w:rPr>
          <w:rFonts w:cs="Calibri"/>
          <w:bCs/>
          <w:i/>
          <w:sz w:val="20"/>
          <w:szCs w:val="20"/>
        </w:rPr>
        <w:t>SR v</w:t>
      </w:r>
      <w:r w:rsidRPr="001F1974">
        <w:rPr>
          <w:rFonts w:cs="Calibri"/>
          <w:bCs/>
          <w:i/>
          <w:spacing w:val="-1"/>
          <w:sz w:val="20"/>
          <w:szCs w:val="20"/>
        </w:rPr>
        <w:t>y</w:t>
      </w:r>
      <w:r w:rsidRPr="001F1974">
        <w:rPr>
          <w:rFonts w:cs="Calibri"/>
          <w:bCs/>
          <w:i/>
          <w:spacing w:val="1"/>
          <w:sz w:val="20"/>
          <w:szCs w:val="20"/>
        </w:rPr>
        <w:t>d</w:t>
      </w:r>
      <w:r w:rsidRPr="001F1974">
        <w:rPr>
          <w:rFonts w:cs="Calibri"/>
          <w:bCs/>
          <w:i/>
          <w:spacing w:val="-1"/>
          <w:sz w:val="20"/>
          <w:szCs w:val="20"/>
        </w:rPr>
        <w:t>a</w:t>
      </w:r>
      <w:r w:rsidRPr="001F1974">
        <w:rPr>
          <w:rFonts w:cs="Calibri"/>
          <w:bCs/>
          <w:i/>
          <w:spacing w:val="1"/>
          <w:sz w:val="20"/>
          <w:szCs w:val="20"/>
        </w:rPr>
        <w:t>l</w:t>
      </w:r>
      <w:r w:rsidRPr="001F1974">
        <w:rPr>
          <w:rFonts w:cs="Calibri"/>
          <w:bCs/>
          <w:i/>
          <w:sz w:val="20"/>
          <w:szCs w:val="20"/>
        </w:rPr>
        <w:t xml:space="preserve">a v </w:t>
      </w:r>
      <w:r w:rsidRPr="001F1974">
        <w:rPr>
          <w:rFonts w:cs="Calibri"/>
          <w:bCs/>
          <w:i/>
          <w:spacing w:val="1"/>
          <w:sz w:val="20"/>
          <w:szCs w:val="20"/>
        </w:rPr>
        <w:t>h</w:t>
      </w:r>
      <w:r w:rsidRPr="001F1974">
        <w:rPr>
          <w:rFonts w:cs="Calibri"/>
          <w:bCs/>
          <w:i/>
          <w:spacing w:val="-2"/>
          <w:sz w:val="20"/>
          <w:szCs w:val="20"/>
        </w:rPr>
        <w:t>o</w:t>
      </w:r>
      <w:r w:rsidRPr="001F1974">
        <w:rPr>
          <w:rFonts w:cs="Calibri"/>
          <w:bCs/>
          <w:i/>
          <w:spacing w:val="-1"/>
          <w:sz w:val="20"/>
          <w:szCs w:val="20"/>
        </w:rPr>
        <w:t>d</w:t>
      </w:r>
      <w:r w:rsidRPr="001F1974">
        <w:rPr>
          <w:rFonts w:cs="Calibri"/>
          <w:bCs/>
          <w:i/>
          <w:spacing w:val="1"/>
          <w:sz w:val="20"/>
          <w:szCs w:val="20"/>
        </w:rPr>
        <w:t>n</w:t>
      </w:r>
      <w:r w:rsidRPr="001F1974">
        <w:rPr>
          <w:rFonts w:cs="Calibri"/>
          <w:bCs/>
          <w:i/>
          <w:sz w:val="20"/>
          <w:szCs w:val="20"/>
        </w:rPr>
        <w:t>o</w:t>
      </w:r>
      <w:r w:rsidRPr="001F1974">
        <w:rPr>
          <w:rFonts w:cs="Calibri"/>
          <w:bCs/>
          <w:i/>
          <w:spacing w:val="1"/>
          <w:sz w:val="20"/>
          <w:szCs w:val="20"/>
        </w:rPr>
        <w:t>t</w:t>
      </w:r>
      <w:r w:rsidRPr="001F1974">
        <w:rPr>
          <w:rFonts w:cs="Calibri"/>
          <w:bCs/>
          <w:i/>
          <w:spacing w:val="-1"/>
          <w:sz w:val="20"/>
          <w:szCs w:val="20"/>
        </w:rPr>
        <w:t>e</w:t>
      </w:r>
      <w:r w:rsidRPr="001F1974">
        <w:rPr>
          <w:rFonts w:cs="Calibri"/>
          <w:bCs/>
          <w:i/>
          <w:spacing w:val="1"/>
          <w:sz w:val="20"/>
          <w:szCs w:val="20"/>
        </w:rPr>
        <w:t>n</w:t>
      </w:r>
      <w:r w:rsidRPr="001F1974">
        <w:rPr>
          <w:rFonts w:cs="Calibri"/>
          <w:bCs/>
          <w:i/>
          <w:sz w:val="20"/>
          <w:szCs w:val="20"/>
        </w:rPr>
        <w:t xml:space="preserve">om </w:t>
      </w:r>
      <w:r w:rsidRPr="001F1974">
        <w:rPr>
          <w:rFonts w:cs="Calibri"/>
          <w:b/>
          <w:bCs/>
          <w:i/>
          <w:spacing w:val="-2"/>
          <w:sz w:val="20"/>
          <w:szCs w:val="20"/>
        </w:rPr>
        <w:t>o</w:t>
      </w:r>
      <w:r w:rsidRPr="001F1974">
        <w:rPr>
          <w:rFonts w:cs="Calibri"/>
          <w:b/>
          <w:bCs/>
          <w:i/>
          <w:spacing w:val="1"/>
          <w:sz w:val="20"/>
          <w:szCs w:val="20"/>
        </w:rPr>
        <w:t>bd</w:t>
      </w:r>
      <w:r w:rsidRPr="001F1974">
        <w:rPr>
          <w:rFonts w:cs="Calibri"/>
          <w:b/>
          <w:bCs/>
          <w:i/>
          <w:spacing w:val="-2"/>
          <w:sz w:val="20"/>
          <w:szCs w:val="20"/>
        </w:rPr>
        <w:t>o</w:t>
      </w:r>
      <w:r w:rsidRPr="001F1974">
        <w:rPr>
          <w:rFonts w:cs="Calibri"/>
          <w:b/>
          <w:bCs/>
          <w:i/>
          <w:spacing w:val="1"/>
          <w:sz w:val="20"/>
          <w:szCs w:val="20"/>
        </w:rPr>
        <w:t>b</w:t>
      </w:r>
      <w:r w:rsidRPr="001F1974">
        <w:rPr>
          <w:rFonts w:cs="Calibri"/>
          <w:b/>
          <w:bCs/>
          <w:i/>
          <w:sz w:val="20"/>
          <w:szCs w:val="20"/>
        </w:rPr>
        <w:t xml:space="preserve">í </w:t>
      </w:r>
      <w:r w:rsidRPr="001F1974">
        <w:rPr>
          <w:rFonts w:cs="Calibri"/>
          <w:b/>
          <w:bCs/>
          <w:i/>
          <w:spacing w:val="1"/>
          <w:sz w:val="20"/>
          <w:szCs w:val="20"/>
        </w:rPr>
        <w:t>136 419</w:t>
      </w:r>
      <w:r w:rsidRPr="001F1974">
        <w:rPr>
          <w:rFonts w:cs="Calibri"/>
          <w:b/>
          <w:bCs/>
          <w:i/>
          <w:sz w:val="20"/>
          <w:szCs w:val="20"/>
        </w:rPr>
        <w:t xml:space="preserve"> </w:t>
      </w:r>
      <w:r w:rsidRPr="001F1974">
        <w:rPr>
          <w:rFonts w:cs="Calibri"/>
          <w:b/>
          <w:bCs/>
          <w:i/>
          <w:spacing w:val="-1"/>
          <w:sz w:val="20"/>
          <w:szCs w:val="20"/>
        </w:rPr>
        <w:t>m</w:t>
      </w:r>
      <w:r w:rsidRPr="001F1974">
        <w:rPr>
          <w:rFonts w:cs="Calibri"/>
          <w:b/>
          <w:bCs/>
          <w:i/>
          <w:spacing w:val="1"/>
          <w:sz w:val="20"/>
          <w:szCs w:val="20"/>
        </w:rPr>
        <w:t>u</w:t>
      </w:r>
      <w:r w:rsidRPr="001F1974">
        <w:rPr>
          <w:rFonts w:cs="Calibri"/>
          <w:b/>
          <w:bCs/>
          <w:i/>
          <w:spacing w:val="-1"/>
          <w:sz w:val="20"/>
          <w:szCs w:val="20"/>
        </w:rPr>
        <w:t>l</w:t>
      </w:r>
      <w:r w:rsidRPr="001F1974">
        <w:rPr>
          <w:rFonts w:cs="Calibri"/>
          <w:b/>
          <w:bCs/>
          <w:i/>
          <w:spacing w:val="1"/>
          <w:sz w:val="20"/>
          <w:szCs w:val="20"/>
        </w:rPr>
        <w:t>ti</w:t>
      </w:r>
      <w:r w:rsidRPr="001F1974">
        <w:rPr>
          <w:rFonts w:cs="Calibri"/>
          <w:b/>
          <w:bCs/>
          <w:i/>
          <w:spacing w:val="-1"/>
          <w:sz w:val="20"/>
          <w:szCs w:val="20"/>
        </w:rPr>
        <w:t>me</w:t>
      </w:r>
      <w:r w:rsidRPr="001F1974">
        <w:rPr>
          <w:rFonts w:cs="Calibri"/>
          <w:b/>
          <w:bCs/>
          <w:i/>
          <w:spacing w:val="1"/>
          <w:sz w:val="20"/>
          <w:szCs w:val="20"/>
        </w:rPr>
        <w:t>di</w:t>
      </w:r>
      <w:r w:rsidRPr="001F1974">
        <w:rPr>
          <w:rFonts w:cs="Calibri"/>
          <w:b/>
          <w:bCs/>
          <w:i/>
          <w:spacing w:val="-1"/>
          <w:sz w:val="20"/>
          <w:szCs w:val="20"/>
        </w:rPr>
        <w:t>ál</w:t>
      </w:r>
      <w:r w:rsidRPr="001F1974">
        <w:rPr>
          <w:rFonts w:cs="Calibri"/>
          <w:b/>
          <w:bCs/>
          <w:i/>
          <w:spacing w:val="1"/>
          <w:sz w:val="20"/>
          <w:szCs w:val="20"/>
        </w:rPr>
        <w:t>n</w:t>
      </w:r>
      <w:r w:rsidRPr="001F1974">
        <w:rPr>
          <w:rFonts w:cs="Calibri"/>
          <w:b/>
          <w:bCs/>
          <w:i/>
          <w:spacing w:val="-1"/>
          <w:sz w:val="20"/>
          <w:szCs w:val="20"/>
        </w:rPr>
        <w:t>y</w:t>
      </w:r>
      <w:r w:rsidRPr="001F1974">
        <w:rPr>
          <w:rFonts w:cs="Calibri"/>
          <w:b/>
          <w:bCs/>
          <w:i/>
          <w:sz w:val="20"/>
          <w:szCs w:val="20"/>
        </w:rPr>
        <w:t>ch s</w:t>
      </w:r>
      <w:r w:rsidRPr="001F1974">
        <w:rPr>
          <w:rFonts w:cs="Calibri"/>
          <w:b/>
          <w:bCs/>
          <w:i/>
          <w:spacing w:val="1"/>
          <w:sz w:val="20"/>
          <w:szCs w:val="20"/>
        </w:rPr>
        <w:t>pr</w:t>
      </w:r>
      <w:r w:rsidRPr="001F1974">
        <w:rPr>
          <w:rFonts w:cs="Calibri"/>
          <w:b/>
          <w:bCs/>
          <w:i/>
          <w:spacing w:val="-1"/>
          <w:sz w:val="20"/>
          <w:szCs w:val="20"/>
        </w:rPr>
        <w:t>áv</w:t>
      </w:r>
      <w:r w:rsidRPr="001F1974">
        <w:rPr>
          <w:rFonts w:cs="Calibri"/>
          <w:bCs/>
          <w:i/>
          <w:sz w:val="20"/>
          <w:szCs w:val="20"/>
        </w:rPr>
        <w:t>.</w:t>
      </w:r>
      <w:r w:rsidRPr="001F1974">
        <w:rPr>
          <w:rFonts w:cs="Calibri"/>
          <w:bCs/>
          <w:i/>
          <w:spacing w:val="17"/>
          <w:sz w:val="20"/>
          <w:szCs w:val="20"/>
        </w:rPr>
        <w:t xml:space="preserve"> </w:t>
      </w:r>
      <w:r w:rsidRPr="001F1974">
        <w:rPr>
          <w:rFonts w:cs="Calibri"/>
          <w:i/>
          <w:sz w:val="20"/>
          <w:szCs w:val="20"/>
        </w:rPr>
        <w:t>V</w:t>
      </w:r>
      <w:r w:rsidRPr="001F1974">
        <w:rPr>
          <w:rFonts w:cs="Calibri"/>
          <w:i/>
          <w:spacing w:val="1"/>
          <w:sz w:val="20"/>
          <w:szCs w:val="20"/>
        </w:rPr>
        <w:t xml:space="preserve"> </w:t>
      </w:r>
      <w:r w:rsidRPr="001F1974">
        <w:rPr>
          <w:rFonts w:cs="Calibri"/>
          <w:i/>
          <w:sz w:val="20"/>
          <w:szCs w:val="20"/>
        </w:rPr>
        <w:t>slo</w:t>
      </w:r>
      <w:r w:rsidRPr="001F1974">
        <w:rPr>
          <w:rFonts w:cs="Calibri"/>
          <w:i/>
          <w:spacing w:val="-3"/>
          <w:sz w:val="20"/>
          <w:szCs w:val="20"/>
        </w:rPr>
        <w:t>v</w:t>
      </w:r>
      <w:r w:rsidRPr="001F1974">
        <w:rPr>
          <w:rFonts w:cs="Calibri"/>
          <w:i/>
          <w:spacing w:val="2"/>
          <w:sz w:val="20"/>
          <w:szCs w:val="20"/>
        </w:rPr>
        <w:t>n</w:t>
      </w:r>
      <w:r w:rsidRPr="001F1974">
        <w:rPr>
          <w:rFonts w:cs="Calibri"/>
          <w:i/>
          <w:spacing w:val="1"/>
          <w:sz w:val="20"/>
          <w:szCs w:val="20"/>
        </w:rPr>
        <w:t>o</w:t>
      </w:r>
      <w:r w:rsidRPr="001F1974">
        <w:rPr>
          <w:rFonts w:cs="Calibri"/>
          <w:i/>
          <w:sz w:val="20"/>
          <w:szCs w:val="20"/>
        </w:rPr>
        <w:t>m s</w:t>
      </w:r>
      <w:r w:rsidRPr="001F1974">
        <w:rPr>
          <w:rFonts w:cs="Calibri"/>
          <w:i/>
          <w:spacing w:val="1"/>
          <w:sz w:val="20"/>
          <w:szCs w:val="20"/>
        </w:rPr>
        <w:t>p</w:t>
      </w:r>
      <w:r w:rsidRPr="001F1974">
        <w:rPr>
          <w:rFonts w:cs="Calibri"/>
          <w:i/>
          <w:sz w:val="20"/>
          <w:szCs w:val="20"/>
        </w:rPr>
        <w:t>ravo</w:t>
      </w:r>
      <w:r w:rsidRPr="001F1974">
        <w:rPr>
          <w:rFonts w:cs="Calibri"/>
          <w:i/>
          <w:spacing w:val="1"/>
          <w:sz w:val="20"/>
          <w:szCs w:val="20"/>
        </w:rPr>
        <w:t>d</w:t>
      </w:r>
      <w:r w:rsidRPr="001F1974">
        <w:rPr>
          <w:rFonts w:cs="Calibri"/>
          <w:i/>
          <w:sz w:val="20"/>
          <w:szCs w:val="20"/>
        </w:rPr>
        <w:t>aj</w:t>
      </w:r>
      <w:r w:rsidRPr="001F1974">
        <w:rPr>
          <w:rFonts w:cs="Calibri"/>
          <w:i/>
          <w:spacing w:val="-3"/>
          <w:sz w:val="20"/>
          <w:szCs w:val="20"/>
        </w:rPr>
        <w:t>s</w:t>
      </w:r>
      <w:r w:rsidRPr="001F1974">
        <w:rPr>
          <w:rFonts w:cs="Calibri"/>
          <w:i/>
          <w:spacing w:val="1"/>
          <w:sz w:val="20"/>
          <w:szCs w:val="20"/>
        </w:rPr>
        <w:t>t</w:t>
      </w:r>
      <w:r w:rsidRPr="001F1974">
        <w:rPr>
          <w:rFonts w:cs="Calibri"/>
          <w:i/>
          <w:sz w:val="20"/>
          <w:szCs w:val="20"/>
        </w:rPr>
        <w:t xml:space="preserve">ve </w:t>
      </w:r>
      <w:r w:rsidRPr="001F1974">
        <w:rPr>
          <w:rFonts w:cs="Calibri"/>
          <w:i/>
          <w:spacing w:val="1"/>
          <w:sz w:val="20"/>
          <w:szCs w:val="20"/>
        </w:rPr>
        <w:t>p</w:t>
      </w:r>
      <w:r w:rsidRPr="001F1974">
        <w:rPr>
          <w:rFonts w:cs="Calibri"/>
          <w:i/>
          <w:spacing w:val="-2"/>
          <w:sz w:val="20"/>
          <w:szCs w:val="20"/>
        </w:rPr>
        <w:t>r</w:t>
      </w:r>
      <w:r w:rsidRPr="001F1974">
        <w:rPr>
          <w:rFonts w:cs="Calibri"/>
          <w:i/>
          <w:sz w:val="20"/>
          <w:szCs w:val="20"/>
        </w:rPr>
        <w:t>i</w:t>
      </w:r>
      <w:r w:rsidRPr="001F1974">
        <w:rPr>
          <w:rFonts w:cs="Calibri"/>
          <w:i/>
          <w:spacing w:val="1"/>
          <w:sz w:val="20"/>
          <w:szCs w:val="20"/>
        </w:rPr>
        <w:t>n</w:t>
      </w:r>
      <w:r w:rsidRPr="001F1974">
        <w:rPr>
          <w:rFonts w:cs="Calibri"/>
          <w:i/>
          <w:sz w:val="20"/>
          <w:szCs w:val="20"/>
        </w:rPr>
        <w:t xml:space="preserve">iesla </w:t>
      </w:r>
      <w:r w:rsidRPr="001F1974">
        <w:rPr>
          <w:rFonts w:cs="Calibri"/>
          <w:i/>
          <w:spacing w:val="1"/>
          <w:sz w:val="20"/>
          <w:szCs w:val="20"/>
        </w:rPr>
        <w:t>76 769</w:t>
      </w:r>
      <w:r w:rsidRPr="001F1974">
        <w:rPr>
          <w:rFonts w:cs="Calibri"/>
          <w:i/>
          <w:spacing w:val="8"/>
          <w:sz w:val="20"/>
          <w:szCs w:val="20"/>
        </w:rPr>
        <w:t xml:space="preserve"> </w:t>
      </w:r>
      <w:r w:rsidRPr="001F1974">
        <w:rPr>
          <w:rFonts w:cs="Calibri"/>
          <w:i/>
          <w:sz w:val="20"/>
          <w:szCs w:val="20"/>
        </w:rPr>
        <w:t>s</w:t>
      </w:r>
      <w:r w:rsidRPr="001F1974">
        <w:rPr>
          <w:rFonts w:cs="Calibri"/>
          <w:i/>
          <w:spacing w:val="1"/>
          <w:sz w:val="20"/>
          <w:szCs w:val="20"/>
        </w:rPr>
        <w:t>p</w:t>
      </w:r>
      <w:r w:rsidRPr="001F1974">
        <w:rPr>
          <w:rFonts w:cs="Calibri"/>
          <w:i/>
          <w:sz w:val="20"/>
          <w:szCs w:val="20"/>
        </w:rPr>
        <w:t>ráv, vy</w:t>
      </w:r>
      <w:r w:rsidRPr="001F1974">
        <w:rPr>
          <w:rFonts w:cs="Calibri"/>
          <w:i/>
          <w:spacing w:val="-1"/>
          <w:sz w:val="20"/>
          <w:szCs w:val="20"/>
        </w:rPr>
        <w:t>d</w:t>
      </w:r>
      <w:r w:rsidRPr="001F1974">
        <w:rPr>
          <w:rFonts w:cs="Calibri"/>
          <w:i/>
          <w:sz w:val="20"/>
          <w:szCs w:val="20"/>
        </w:rPr>
        <w:t xml:space="preserve">ala </w:t>
      </w:r>
      <w:r w:rsidRPr="001F1974">
        <w:rPr>
          <w:rFonts w:cs="Calibri"/>
          <w:i/>
          <w:spacing w:val="4"/>
          <w:sz w:val="20"/>
          <w:szCs w:val="20"/>
        </w:rPr>
        <w:t>7 538</w:t>
      </w:r>
      <w:r w:rsidRPr="001F1974">
        <w:rPr>
          <w:rFonts w:cs="Calibri"/>
          <w:i/>
          <w:sz w:val="20"/>
          <w:szCs w:val="20"/>
        </w:rPr>
        <w:t xml:space="preserve"> </w:t>
      </w:r>
      <w:r w:rsidRPr="001F1974">
        <w:rPr>
          <w:rFonts w:cs="Calibri"/>
          <w:i/>
          <w:spacing w:val="1"/>
          <w:sz w:val="20"/>
          <w:szCs w:val="20"/>
        </w:rPr>
        <w:t>z</w:t>
      </w:r>
      <w:r w:rsidRPr="001F1974">
        <w:rPr>
          <w:rFonts w:cs="Calibri"/>
          <w:i/>
          <w:sz w:val="20"/>
          <w:szCs w:val="20"/>
        </w:rPr>
        <w:t>v</w:t>
      </w:r>
      <w:r w:rsidRPr="001F1974">
        <w:rPr>
          <w:rFonts w:cs="Calibri"/>
          <w:i/>
          <w:spacing w:val="1"/>
          <w:sz w:val="20"/>
          <w:szCs w:val="20"/>
        </w:rPr>
        <w:t>u</w:t>
      </w:r>
      <w:r w:rsidRPr="001F1974">
        <w:rPr>
          <w:rFonts w:cs="Calibri"/>
          <w:i/>
          <w:spacing w:val="-1"/>
          <w:sz w:val="20"/>
          <w:szCs w:val="20"/>
        </w:rPr>
        <w:t>k</w:t>
      </w:r>
      <w:r w:rsidRPr="001F1974">
        <w:rPr>
          <w:rFonts w:cs="Calibri"/>
          <w:i/>
          <w:sz w:val="20"/>
          <w:szCs w:val="20"/>
        </w:rPr>
        <w:t xml:space="preserve">ov, </w:t>
      </w:r>
      <w:r w:rsidRPr="001F1974">
        <w:rPr>
          <w:rFonts w:cs="Calibri"/>
          <w:i/>
          <w:spacing w:val="-1"/>
          <w:sz w:val="20"/>
          <w:szCs w:val="20"/>
        </w:rPr>
        <w:t>48 955</w:t>
      </w:r>
      <w:r w:rsidRPr="001F1974">
        <w:rPr>
          <w:rFonts w:cs="Calibri"/>
          <w:i/>
          <w:sz w:val="20"/>
          <w:szCs w:val="20"/>
        </w:rPr>
        <w:t xml:space="preserve"> </w:t>
      </w:r>
      <w:r w:rsidRPr="001F1974">
        <w:rPr>
          <w:rFonts w:cs="Calibri"/>
          <w:i/>
          <w:spacing w:val="1"/>
          <w:sz w:val="20"/>
          <w:szCs w:val="20"/>
        </w:rPr>
        <w:t>f</w:t>
      </w:r>
      <w:r w:rsidRPr="001F1974">
        <w:rPr>
          <w:rFonts w:cs="Calibri"/>
          <w:i/>
          <w:sz w:val="20"/>
          <w:szCs w:val="20"/>
        </w:rPr>
        <w:t>o</w:t>
      </w:r>
      <w:r w:rsidRPr="001F1974">
        <w:rPr>
          <w:rFonts w:cs="Calibri"/>
          <w:i/>
          <w:spacing w:val="-1"/>
          <w:sz w:val="20"/>
          <w:szCs w:val="20"/>
        </w:rPr>
        <w:t>t</w:t>
      </w:r>
      <w:r w:rsidRPr="001F1974">
        <w:rPr>
          <w:rFonts w:cs="Calibri"/>
          <w:i/>
          <w:sz w:val="20"/>
          <w:szCs w:val="20"/>
        </w:rPr>
        <w:t>ogra</w:t>
      </w:r>
      <w:r w:rsidRPr="001F1974">
        <w:rPr>
          <w:rFonts w:cs="Calibri"/>
          <w:i/>
          <w:spacing w:val="1"/>
          <w:sz w:val="20"/>
          <w:szCs w:val="20"/>
        </w:rPr>
        <w:t>f</w:t>
      </w:r>
      <w:r w:rsidRPr="001F1974">
        <w:rPr>
          <w:rFonts w:cs="Calibri"/>
          <w:i/>
          <w:sz w:val="20"/>
          <w:szCs w:val="20"/>
        </w:rPr>
        <w:t>ií</w:t>
      </w:r>
      <w:r w:rsidRPr="001F1974">
        <w:rPr>
          <w:rFonts w:cs="Calibri"/>
          <w:i/>
          <w:spacing w:val="5"/>
          <w:sz w:val="20"/>
          <w:szCs w:val="20"/>
        </w:rPr>
        <w:t xml:space="preserve"> </w:t>
      </w:r>
      <w:r w:rsidRPr="001F1974">
        <w:rPr>
          <w:rFonts w:cs="Calibri"/>
          <w:i/>
          <w:sz w:val="20"/>
          <w:szCs w:val="20"/>
        </w:rPr>
        <w:t xml:space="preserve">a 3 157  </w:t>
      </w:r>
      <w:proofErr w:type="spellStart"/>
      <w:r w:rsidRPr="001F1974">
        <w:rPr>
          <w:rFonts w:cs="Calibri"/>
          <w:i/>
          <w:sz w:val="20"/>
          <w:szCs w:val="20"/>
        </w:rPr>
        <w:t>vi</w:t>
      </w:r>
      <w:r w:rsidRPr="001F1974">
        <w:rPr>
          <w:rFonts w:cs="Calibri"/>
          <w:i/>
          <w:spacing w:val="1"/>
          <w:sz w:val="20"/>
          <w:szCs w:val="20"/>
        </w:rPr>
        <w:t>d</w:t>
      </w:r>
      <w:r w:rsidRPr="001F1974">
        <w:rPr>
          <w:rFonts w:cs="Calibri"/>
          <w:i/>
          <w:sz w:val="20"/>
          <w:szCs w:val="20"/>
        </w:rPr>
        <w:t>eos</w:t>
      </w:r>
      <w:r w:rsidRPr="001F1974">
        <w:rPr>
          <w:rFonts w:cs="Calibri"/>
          <w:i/>
          <w:spacing w:val="1"/>
          <w:sz w:val="20"/>
          <w:szCs w:val="20"/>
        </w:rPr>
        <w:t>p</w:t>
      </w:r>
      <w:r w:rsidRPr="001F1974">
        <w:rPr>
          <w:rFonts w:cs="Calibri"/>
          <w:i/>
          <w:sz w:val="20"/>
          <w:szCs w:val="20"/>
        </w:rPr>
        <w:t>ráv</w:t>
      </w:r>
      <w:proofErr w:type="spellEnd"/>
      <w:r w:rsidRPr="001F1974">
        <w:rPr>
          <w:rFonts w:cs="Calibri"/>
          <w:i/>
          <w:sz w:val="20"/>
          <w:szCs w:val="20"/>
        </w:rPr>
        <w:t>.</w:t>
      </w:r>
    </w:p>
    <w:p w:rsidR="001F1974" w:rsidRPr="001F1974" w:rsidRDefault="001F1974" w:rsidP="001F1974">
      <w:pPr>
        <w:pStyle w:val="Odsekzoznamu"/>
        <w:spacing w:after="120" w:line="259" w:lineRule="auto"/>
        <w:ind w:left="0"/>
        <w:jc w:val="both"/>
        <w:rPr>
          <w:rFonts w:cs="Arial"/>
          <w:i/>
          <w:sz w:val="20"/>
          <w:szCs w:val="20"/>
        </w:rPr>
      </w:pPr>
      <w:r w:rsidRPr="001F1974">
        <w:rPr>
          <w:rFonts w:cs="Arial"/>
          <w:b/>
          <w:i/>
          <w:sz w:val="20"/>
          <w:szCs w:val="20"/>
        </w:rPr>
        <w:t xml:space="preserve">     Za II. polrok 2019 dosiahli príjmy TASR </w:t>
      </w:r>
      <w:r w:rsidRPr="001F1974">
        <w:rPr>
          <w:rFonts w:cs="Arial"/>
          <w:b/>
          <w:bCs/>
          <w:i/>
          <w:iCs/>
          <w:sz w:val="20"/>
          <w:szCs w:val="20"/>
          <w:lang w:eastAsia="sk-SK"/>
        </w:rPr>
        <w:t xml:space="preserve">2 825 003 </w:t>
      </w:r>
      <w:r w:rsidRPr="001F1974">
        <w:rPr>
          <w:rFonts w:cs="Arial"/>
          <w:b/>
          <w:i/>
          <w:sz w:val="20"/>
          <w:szCs w:val="20"/>
        </w:rPr>
        <w:t>EUR. Výdavky za II. polrok boli vykázané vo výške 2 863 194 EUR. Na základe uvedených pohybov TASR ukončila rok 2019 s prebytkom vo výške 278 295 EUR</w:t>
      </w:r>
      <w:r w:rsidRPr="001F1974">
        <w:rPr>
          <w:rFonts w:cs="Arial"/>
          <w:i/>
          <w:sz w:val="20"/>
          <w:szCs w:val="20"/>
        </w:rPr>
        <w:t xml:space="preserve">. </w:t>
      </w:r>
    </w:p>
    <w:p w:rsidR="001F1974" w:rsidRPr="001F1974" w:rsidRDefault="001F1974" w:rsidP="001F1974">
      <w:pPr>
        <w:pStyle w:val="Pta"/>
        <w:tabs>
          <w:tab w:val="left" w:pos="708"/>
        </w:tabs>
        <w:spacing w:after="120" w:line="259" w:lineRule="auto"/>
        <w:jc w:val="both"/>
        <w:rPr>
          <w:rFonts w:ascii="Calibri" w:hAnsi="Calibri" w:cs="Arial"/>
          <w:b/>
          <w:i/>
          <w:sz w:val="20"/>
        </w:rPr>
      </w:pPr>
      <w:r w:rsidRPr="001F1974">
        <w:rPr>
          <w:rFonts w:ascii="Calibri" w:hAnsi="Calibri" w:cs="Arial"/>
          <w:i/>
          <w:sz w:val="20"/>
        </w:rPr>
        <w:t xml:space="preserve">     Súhrnné náklady dosiahli za II. polrok  výšku 2 677 570 EUR. Celkové  výnosy za  II. polrok dosiahli  čiastku 2 606 310 EUR. </w:t>
      </w:r>
      <w:r w:rsidRPr="001F1974">
        <w:rPr>
          <w:rFonts w:ascii="Calibri" w:hAnsi="Calibri" w:cs="Arial"/>
          <w:b/>
          <w:i/>
          <w:sz w:val="20"/>
        </w:rPr>
        <w:t>TASR</w:t>
      </w:r>
      <w:r w:rsidRPr="001F1974">
        <w:rPr>
          <w:rFonts w:ascii="Calibri" w:hAnsi="Calibri" w:cs="Arial"/>
          <w:i/>
          <w:sz w:val="20"/>
        </w:rPr>
        <w:t xml:space="preserve"> </w:t>
      </w:r>
      <w:r w:rsidRPr="001F1974">
        <w:rPr>
          <w:rFonts w:ascii="Calibri" w:hAnsi="Calibri" w:cs="Arial"/>
          <w:b/>
          <w:i/>
          <w:sz w:val="20"/>
        </w:rPr>
        <w:t>ukončila celkovo rok 2019 s konečným ziskovým hospodárskym výsledkom vo výške 8 481 EUR.</w:t>
      </w:r>
    </w:p>
    <w:p w:rsidR="001F1974" w:rsidRPr="001F1974" w:rsidRDefault="001F1974" w:rsidP="001F1974">
      <w:pPr>
        <w:pStyle w:val="Pta"/>
        <w:tabs>
          <w:tab w:val="left" w:pos="708"/>
        </w:tabs>
        <w:spacing w:after="120" w:line="259" w:lineRule="auto"/>
        <w:jc w:val="both"/>
        <w:rPr>
          <w:rFonts w:ascii="Calibri" w:eastAsia="MS Mincho" w:hAnsi="Calibri"/>
          <w:i/>
          <w:sz w:val="20"/>
        </w:rPr>
      </w:pPr>
      <w:r w:rsidRPr="001F1974">
        <w:rPr>
          <w:rFonts w:ascii="Calibri" w:eastAsia="MS Mincho" w:hAnsi="Calibri"/>
          <w:i/>
          <w:sz w:val="20"/>
        </w:rPr>
        <w:t xml:space="preserve">     Celkový fakturovaný objem z predaja vlastných produktov a služieb predstavoval v druhom polroku 2019 sumu 1 318 861 EUR bez DPH. V porovnaní s druhým polrokom 2018 </w:t>
      </w:r>
      <w:r w:rsidRPr="001F1974">
        <w:rPr>
          <w:rFonts w:ascii="Calibri" w:eastAsia="MS Mincho" w:hAnsi="Calibri"/>
          <w:b/>
          <w:i/>
          <w:sz w:val="20"/>
        </w:rPr>
        <w:t>ide o nárast o vyše 9 percent,</w:t>
      </w:r>
      <w:r w:rsidRPr="001F1974">
        <w:rPr>
          <w:rFonts w:ascii="Calibri" w:eastAsia="MS Mincho" w:hAnsi="Calibri"/>
          <w:i/>
          <w:sz w:val="20"/>
        </w:rPr>
        <w:t xml:space="preserve"> čo vo finančnom vyjadrení predstavuje sumu 112 656 EUR bez DPH. </w:t>
      </w:r>
    </w:p>
    <w:p w:rsidR="001F1974" w:rsidRPr="001F1974" w:rsidRDefault="001F1974" w:rsidP="001F1974">
      <w:pPr>
        <w:pStyle w:val="Pta"/>
        <w:tabs>
          <w:tab w:val="left" w:pos="708"/>
        </w:tabs>
        <w:spacing w:after="120" w:line="259" w:lineRule="auto"/>
        <w:jc w:val="both"/>
        <w:rPr>
          <w:rFonts w:ascii="Calibri" w:eastAsia="MS Mincho" w:hAnsi="Calibri"/>
          <w:i/>
          <w:sz w:val="20"/>
        </w:rPr>
      </w:pPr>
      <w:r w:rsidRPr="001F1974">
        <w:rPr>
          <w:rFonts w:ascii="Calibri" w:eastAsia="MS Mincho" w:hAnsi="Calibri"/>
          <w:i/>
          <w:sz w:val="20"/>
        </w:rPr>
        <w:t xml:space="preserve">     TASR vypracovala </w:t>
      </w:r>
      <w:r w:rsidRPr="001F1974">
        <w:rPr>
          <w:rFonts w:ascii="Calibri" w:eastAsia="MS Mincho" w:hAnsi="Calibri"/>
          <w:b/>
          <w:i/>
          <w:sz w:val="20"/>
        </w:rPr>
        <w:t>nový model indexácie cien produktov a služieb</w:t>
      </w:r>
      <w:r w:rsidRPr="001F1974">
        <w:rPr>
          <w:rFonts w:ascii="Calibri" w:eastAsia="MS Mincho" w:hAnsi="Calibri"/>
          <w:i/>
          <w:sz w:val="20"/>
        </w:rPr>
        <w:t xml:space="preserve"> tak, aby boli transparentné a jasné pravidlá cenotvorby produktov pre jednotlivých odberateľov podľa ich sily na trhu, lokalizácie, tematickosti a ďalších parametrov. Indexácia bola systémovým krokom k vyrovnávania cenových disproporcií z minulosti. </w:t>
      </w:r>
    </w:p>
    <w:p w:rsidR="001F1974" w:rsidRPr="001F1974" w:rsidRDefault="001F1974" w:rsidP="001F1974">
      <w:pPr>
        <w:pStyle w:val="Pta"/>
        <w:tabs>
          <w:tab w:val="left" w:pos="708"/>
        </w:tabs>
        <w:spacing w:after="120" w:line="259" w:lineRule="auto"/>
        <w:jc w:val="both"/>
        <w:rPr>
          <w:rFonts w:ascii="Calibri" w:eastAsia="MS Mincho" w:hAnsi="Calibri"/>
          <w:i/>
          <w:sz w:val="20"/>
        </w:rPr>
      </w:pPr>
      <w:r w:rsidRPr="001F1974">
        <w:rPr>
          <w:rFonts w:ascii="Calibri" w:eastAsia="MS Mincho" w:hAnsi="Calibri"/>
          <w:i/>
          <w:sz w:val="20"/>
        </w:rPr>
        <w:t xml:space="preserve">     TASR sa usiluje byť inovatívne agentúra, ktorá prináša nové spôsoby doručovania informácií pre odberateľov i verejnosť. V hodnotenom období agentúra uviedla  modernú aplikáciu TASR Pro, ktorá umožňuje v modernom </w:t>
      </w:r>
      <w:r w:rsidRPr="001F1974">
        <w:rPr>
          <w:rFonts w:ascii="Calibri" w:eastAsia="MS Mincho" w:hAnsi="Calibri"/>
          <w:i/>
          <w:sz w:val="20"/>
        </w:rPr>
        <w:lastRenderedPageBreak/>
        <w:t xml:space="preserve">rozhraní používanie agentúrnych produktov podľa klientskych priorít. TASR Pro je flexibilná agentúra v mobilnom telefóne. </w:t>
      </w:r>
    </w:p>
    <w:p w:rsidR="001F1974" w:rsidRPr="001F1974" w:rsidRDefault="001F1974" w:rsidP="001F1974">
      <w:pPr>
        <w:tabs>
          <w:tab w:val="left" w:pos="10773"/>
        </w:tabs>
        <w:spacing w:after="120"/>
        <w:ind w:right="-40"/>
        <w:jc w:val="both"/>
        <w:rPr>
          <w:i/>
          <w:sz w:val="20"/>
          <w:szCs w:val="20"/>
        </w:rPr>
      </w:pPr>
      <w:r w:rsidRPr="001F1974">
        <w:rPr>
          <w:i/>
          <w:sz w:val="20"/>
          <w:szCs w:val="20"/>
        </w:rPr>
        <w:t xml:space="preserve">     TASR zaznamenala všetky podstatné udalosti doma i v zahraničí, v politike, ekonomike, kultúre či športe. Redakcie informovali o pôsobení prezidentky, parlamentu, vlády, politických strán, celoslovenskom i regionálnom dianí. Zaznamenali inauguráciu prezidentky, významné súdne procesy, schvaľovanie štátneho rozpočtu, dianie na ústavnom súde, pohyby na politickej mape, ale i tragédiu v Prešove. Zahraničná redakcia i stály redaktor TASR v Bruseli mapovali dianie v Európskej únii, okolnosti odchodu Veľkej Británie z EÚ, i všetky významné celosvetové udalosti s dôrazom na „slovaciká“, informácie o Slovensku a Slovákoch v zahraničí. </w:t>
      </w:r>
    </w:p>
    <w:p w:rsidR="001F1974" w:rsidRPr="001F1974" w:rsidRDefault="001F1974" w:rsidP="001F1974">
      <w:pPr>
        <w:tabs>
          <w:tab w:val="left" w:pos="10773"/>
        </w:tabs>
        <w:spacing w:after="120"/>
        <w:ind w:right="-40"/>
        <w:jc w:val="both"/>
        <w:rPr>
          <w:i/>
          <w:sz w:val="20"/>
          <w:szCs w:val="20"/>
        </w:rPr>
      </w:pPr>
      <w:r w:rsidRPr="001F1974">
        <w:rPr>
          <w:i/>
          <w:sz w:val="20"/>
          <w:szCs w:val="20"/>
        </w:rPr>
        <w:t xml:space="preserve">     TASR prinášala celistvý obraz diania doma i vo svete, a to textom, fotografiou, zvukom, videom. </w:t>
      </w:r>
    </w:p>
    <w:p w:rsidR="001F1974" w:rsidRPr="001F1974" w:rsidRDefault="001F1974" w:rsidP="001F1974">
      <w:pPr>
        <w:tabs>
          <w:tab w:val="left" w:pos="10773"/>
        </w:tabs>
        <w:spacing w:after="120"/>
        <w:ind w:right="-40"/>
        <w:jc w:val="both"/>
        <w:rPr>
          <w:i/>
          <w:sz w:val="20"/>
          <w:szCs w:val="20"/>
        </w:rPr>
      </w:pPr>
      <w:r w:rsidRPr="001F1974">
        <w:rPr>
          <w:i/>
          <w:sz w:val="20"/>
          <w:szCs w:val="20"/>
        </w:rPr>
        <w:t xml:space="preserve">     Zahraničné cesty s predstaviteľmi štátu či slovenskými športovcami vníma TASR nielen ako rozhodnutie manažmentu, ale ako svoje verejnoprávne poslanie. TASR zvýšila náklady na zahraničné služobné cesty, aby dokázala zabezpečovať spravodajstvo „na vlastné oči“. Redaktori TASR absolvovali úvodné audiencie novozvolenej prezidentky, cestovali s premiérom i predsedom parlamentu, informovali z Prahy, Moskvy, Tokia, Šanghaja, Washingtonu a ďalších krajín. </w:t>
      </w:r>
    </w:p>
    <w:p w:rsidR="001F1974" w:rsidRPr="001F1974" w:rsidRDefault="001F1974" w:rsidP="001F1974">
      <w:pPr>
        <w:tabs>
          <w:tab w:val="left" w:pos="10773"/>
        </w:tabs>
        <w:spacing w:after="120"/>
        <w:ind w:right="-40"/>
        <w:jc w:val="both"/>
        <w:rPr>
          <w:i/>
          <w:sz w:val="20"/>
          <w:szCs w:val="20"/>
        </w:rPr>
      </w:pPr>
      <w:r w:rsidRPr="001F1974">
        <w:rPr>
          <w:i/>
          <w:sz w:val="20"/>
          <w:szCs w:val="20"/>
        </w:rPr>
        <w:t xml:space="preserve">     Intenzívne cestovali aj športoví redaktori. Zaznamenali pôsobenie Slovana Bratislava v skupinovej fáze Európskej ligy. Podrobne monitorovali pôsobenie slovenskej reprezentácie v kvalifikácii o postup na EURO2020 - zápasy s Maďarskom, Chorvátskom, Azerbajdžanom. Redaktori vycestovali na - ME vo volejbale mužov v Bruseli, ME vo volejbale žien v Bratislave, na švajčiarsky a nemecký pohár v ľadovom hokeji, MS v atletike v Dauhe, MS v rýchlostnej kanoistike v </w:t>
      </w:r>
      <w:proofErr w:type="spellStart"/>
      <w:r w:rsidRPr="001F1974">
        <w:rPr>
          <w:i/>
          <w:sz w:val="20"/>
          <w:szCs w:val="20"/>
        </w:rPr>
        <w:t>Szegede</w:t>
      </w:r>
      <w:proofErr w:type="spellEnd"/>
      <w:r w:rsidRPr="001F1974">
        <w:rPr>
          <w:i/>
          <w:sz w:val="20"/>
          <w:szCs w:val="20"/>
        </w:rPr>
        <w:t>, MS v cyklistike v </w:t>
      </w:r>
      <w:proofErr w:type="spellStart"/>
      <w:r w:rsidRPr="001F1974">
        <w:rPr>
          <w:i/>
          <w:sz w:val="20"/>
          <w:szCs w:val="20"/>
        </w:rPr>
        <w:t>Leedsi</w:t>
      </w:r>
      <w:proofErr w:type="spellEnd"/>
      <w:r w:rsidRPr="001F1974">
        <w:rPr>
          <w:i/>
          <w:sz w:val="20"/>
          <w:szCs w:val="20"/>
        </w:rPr>
        <w:t xml:space="preserve">. OR TASR sa špeciálne venuje  úspechom Petry </w:t>
      </w:r>
      <w:proofErr w:type="spellStart"/>
      <w:r w:rsidRPr="001F1974">
        <w:rPr>
          <w:i/>
          <w:sz w:val="20"/>
          <w:szCs w:val="20"/>
        </w:rPr>
        <w:t>Vlhovej</w:t>
      </w:r>
      <w:proofErr w:type="spellEnd"/>
      <w:r w:rsidRPr="001F1974">
        <w:rPr>
          <w:i/>
          <w:sz w:val="20"/>
          <w:szCs w:val="20"/>
        </w:rPr>
        <w:t xml:space="preserve"> vo SP v lyžovaní - v </w:t>
      </w:r>
      <w:proofErr w:type="spellStart"/>
      <w:r w:rsidRPr="001F1974">
        <w:rPr>
          <w:i/>
          <w:sz w:val="20"/>
          <w:szCs w:val="20"/>
        </w:rPr>
        <w:t>Lienzi</w:t>
      </w:r>
      <w:proofErr w:type="spellEnd"/>
      <w:r w:rsidRPr="001F1974">
        <w:rPr>
          <w:i/>
          <w:sz w:val="20"/>
          <w:szCs w:val="20"/>
        </w:rPr>
        <w:t xml:space="preserve">, </w:t>
      </w:r>
      <w:proofErr w:type="spellStart"/>
      <w:r w:rsidRPr="001F1974">
        <w:rPr>
          <w:i/>
          <w:sz w:val="20"/>
          <w:szCs w:val="20"/>
        </w:rPr>
        <w:t>Soldene</w:t>
      </w:r>
      <w:proofErr w:type="spellEnd"/>
      <w:r w:rsidRPr="001F1974">
        <w:rPr>
          <w:i/>
          <w:sz w:val="20"/>
          <w:szCs w:val="20"/>
        </w:rPr>
        <w:t xml:space="preserve"> a ďalších mestách.</w:t>
      </w:r>
    </w:p>
    <w:p w:rsidR="001F1974" w:rsidRPr="001F1974" w:rsidRDefault="001F1974" w:rsidP="001F1974">
      <w:pPr>
        <w:tabs>
          <w:tab w:val="left" w:pos="10773"/>
        </w:tabs>
        <w:spacing w:after="120"/>
        <w:ind w:right="-40"/>
        <w:jc w:val="both"/>
        <w:rPr>
          <w:i/>
          <w:sz w:val="20"/>
          <w:szCs w:val="20"/>
        </w:rPr>
      </w:pPr>
      <w:r w:rsidRPr="001F1974">
        <w:rPr>
          <w:i/>
          <w:sz w:val="20"/>
          <w:szCs w:val="20"/>
        </w:rPr>
        <w:t xml:space="preserve">     Významnú zložku spravodajstva TASR v hodnotenom období tvorili </w:t>
      </w:r>
      <w:r w:rsidRPr="001F1974">
        <w:rPr>
          <w:b/>
          <w:i/>
          <w:sz w:val="20"/>
          <w:szCs w:val="20"/>
        </w:rPr>
        <w:t>špeciálne projekty k významným udalostiam či výročiam</w:t>
      </w:r>
      <w:r w:rsidR="00E55F89">
        <w:rPr>
          <w:i/>
          <w:sz w:val="20"/>
          <w:szCs w:val="20"/>
        </w:rPr>
        <w:t xml:space="preserve"> (30</w:t>
      </w:r>
      <w:r w:rsidRPr="001F1974">
        <w:rPr>
          <w:i/>
          <w:sz w:val="20"/>
          <w:szCs w:val="20"/>
        </w:rPr>
        <w:t xml:space="preserve">. výročie </w:t>
      </w:r>
      <w:r w:rsidR="00B90418">
        <w:rPr>
          <w:i/>
          <w:sz w:val="20"/>
          <w:szCs w:val="20"/>
        </w:rPr>
        <w:t xml:space="preserve">SNP, výročie </w:t>
      </w:r>
      <w:r w:rsidRPr="001F1974">
        <w:rPr>
          <w:i/>
          <w:sz w:val="20"/>
          <w:szCs w:val="20"/>
        </w:rPr>
        <w:t xml:space="preserve">Novembra 1989, Rok M. R. Štefánika - 100. výročie tragickej smrti, 100 rokov UK, </w:t>
      </w:r>
      <w:proofErr w:type="spellStart"/>
      <w:r w:rsidRPr="001F1974">
        <w:rPr>
          <w:i/>
          <w:sz w:val="20"/>
          <w:szCs w:val="20"/>
        </w:rPr>
        <w:t>Brexit</w:t>
      </w:r>
      <w:proofErr w:type="spellEnd"/>
      <w:r w:rsidRPr="001F1974">
        <w:rPr>
          <w:i/>
          <w:sz w:val="20"/>
          <w:szCs w:val="20"/>
        </w:rPr>
        <w:t xml:space="preserve">...). Projekty našli zastúpenia nielen v servise, ale aj na koncových médiách TASR. </w:t>
      </w:r>
    </w:p>
    <w:p w:rsidR="001F1974" w:rsidRPr="001F1974" w:rsidRDefault="00B90418" w:rsidP="001F1974">
      <w:pPr>
        <w:tabs>
          <w:tab w:val="left" w:pos="10773"/>
        </w:tabs>
        <w:spacing w:after="120"/>
        <w:ind w:right="-40"/>
        <w:jc w:val="both"/>
        <w:rPr>
          <w:i/>
          <w:sz w:val="20"/>
          <w:szCs w:val="20"/>
        </w:rPr>
      </w:pPr>
      <w:r>
        <w:rPr>
          <w:i/>
          <w:sz w:val="20"/>
          <w:szCs w:val="20"/>
        </w:rPr>
        <w:t xml:space="preserve">Výstupom projektu bolo okrem mnohých informácií aj </w:t>
      </w:r>
      <w:bookmarkStart w:id="0" w:name="_GoBack"/>
      <w:bookmarkEnd w:id="0"/>
      <w:r w:rsidR="001F1974" w:rsidRPr="001F1974">
        <w:rPr>
          <w:i/>
          <w:sz w:val="20"/>
          <w:szCs w:val="20"/>
        </w:rPr>
        <w:t xml:space="preserve">výstava o vypálených obciach Vstali z popola, ktorá bola inštalovaná v múzeu SNP v Banskej Bystrici. </w:t>
      </w:r>
    </w:p>
    <w:p w:rsidR="001F1974" w:rsidRPr="001F1974" w:rsidRDefault="001F1974" w:rsidP="001F1974">
      <w:pPr>
        <w:tabs>
          <w:tab w:val="left" w:pos="10773"/>
        </w:tabs>
        <w:spacing w:after="120"/>
        <w:ind w:right="-40"/>
        <w:jc w:val="both"/>
        <w:rPr>
          <w:i/>
          <w:sz w:val="20"/>
          <w:szCs w:val="20"/>
        </w:rPr>
      </w:pPr>
      <w:r w:rsidRPr="001F1974">
        <w:rPr>
          <w:i/>
          <w:sz w:val="20"/>
          <w:szCs w:val="20"/>
        </w:rPr>
        <w:t xml:space="preserve">     Pri príležitosti 30. výročia Novembra 89 pripravila DR TASR množstvo materiálov - rozhovory s aktérmi, analytikmi, seriál o Novembri v regiónoch. </w:t>
      </w:r>
    </w:p>
    <w:p w:rsidR="001F1974" w:rsidRPr="001F1974" w:rsidRDefault="001F1974" w:rsidP="001F1974">
      <w:pPr>
        <w:tabs>
          <w:tab w:val="left" w:pos="10773"/>
        </w:tabs>
        <w:spacing w:after="120"/>
        <w:ind w:right="-40"/>
        <w:jc w:val="both"/>
        <w:rPr>
          <w:i/>
          <w:sz w:val="20"/>
          <w:szCs w:val="20"/>
        </w:rPr>
      </w:pPr>
      <w:r w:rsidRPr="001F1974">
        <w:rPr>
          <w:i/>
          <w:sz w:val="20"/>
          <w:szCs w:val="20"/>
        </w:rPr>
        <w:t xml:space="preserve">     Významnú úlohu pri týchto výročiach mal </w:t>
      </w:r>
      <w:r w:rsidRPr="001F1974">
        <w:rPr>
          <w:b/>
          <w:i/>
          <w:sz w:val="20"/>
          <w:szCs w:val="20"/>
        </w:rPr>
        <w:t>archív TASR</w:t>
      </w:r>
      <w:r w:rsidRPr="001F1974">
        <w:rPr>
          <w:i/>
          <w:sz w:val="20"/>
          <w:szCs w:val="20"/>
        </w:rPr>
        <w:t xml:space="preserve">. Unikátne fotografie k jednotlivým výročiam agentúra dodávala pre Slovenské národné múzeum, České národné múzeum v Prahe, rôzne ďalšie výstavy a knižné publikácie (Milan Kňažko : S Otvorenými očami, Klub89 : Nežná revolúcia). Fotografie z archívu TASR dodala agentúra aj na výstavu ČTK. </w:t>
      </w:r>
    </w:p>
    <w:p w:rsidR="001F1974" w:rsidRPr="001F1974" w:rsidRDefault="001F1974" w:rsidP="001F1974">
      <w:pPr>
        <w:tabs>
          <w:tab w:val="left" w:pos="10773"/>
        </w:tabs>
        <w:spacing w:after="120"/>
        <w:ind w:right="-40"/>
        <w:jc w:val="both"/>
        <w:rPr>
          <w:i/>
          <w:sz w:val="20"/>
          <w:szCs w:val="20"/>
        </w:rPr>
      </w:pPr>
      <w:r w:rsidRPr="001F1974">
        <w:rPr>
          <w:i/>
          <w:sz w:val="20"/>
          <w:szCs w:val="20"/>
        </w:rPr>
        <w:t xml:space="preserve">     V súvislosti s </w:t>
      </w:r>
      <w:proofErr w:type="spellStart"/>
      <w:r w:rsidRPr="001F1974">
        <w:rPr>
          <w:i/>
          <w:sz w:val="20"/>
          <w:szCs w:val="20"/>
        </w:rPr>
        <w:t>Brexitom</w:t>
      </w:r>
      <w:proofErr w:type="spellEnd"/>
      <w:r w:rsidRPr="001F1974">
        <w:rPr>
          <w:i/>
          <w:sz w:val="20"/>
          <w:szCs w:val="20"/>
        </w:rPr>
        <w:t xml:space="preserve"> TASR priniesla a prináša dôležité informácie pre občanov, posilou pri mapovaní diania je nová spolupracovníčka TASR v Londýne. </w:t>
      </w:r>
    </w:p>
    <w:p w:rsidR="001F1974" w:rsidRPr="001F1974" w:rsidRDefault="001F1974" w:rsidP="001F1974">
      <w:pPr>
        <w:tabs>
          <w:tab w:val="left" w:pos="10773"/>
        </w:tabs>
        <w:spacing w:after="120"/>
        <w:ind w:right="-40"/>
        <w:jc w:val="both"/>
        <w:rPr>
          <w:i/>
          <w:sz w:val="20"/>
          <w:szCs w:val="20"/>
        </w:rPr>
      </w:pPr>
      <w:r w:rsidRPr="001F1974">
        <w:rPr>
          <w:i/>
          <w:sz w:val="20"/>
          <w:szCs w:val="20"/>
        </w:rPr>
        <w:t xml:space="preserve">     Dokumentačná redakcia TASR (ďalej len RDD TASR) ukončila rok 2019 doteraz najbohatšou ponukou koncoročných chronológií z rôznych oblastí života pre odberateľov i verejnosť. </w:t>
      </w:r>
    </w:p>
    <w:p w:rsidR="001F1974" w:rsidRPr="001F1974" w:rsidRDefault="001F1974" w:rsidP="001F1974">
      <w:pPr>
        <w:tabs>
          <w:tab w:val="left" w:pos="10773"/>
        </w:tabs>
        <w:spacing w:after="120"/>
        <w:ind w:right="-40"/>
        <w:jc w:val="both"/>
        <w:rPr>
          <w:i/>
          <w:sz w:val="20"/>
          <w:szCs w:val="20"/>
        </w:rPr>
      </w:pPr>
      <w:r w:rsidRPr="001F1974">
        <w:rPr>
          <w:i/>
          <w:sz w:val="20"/>
          <w:szCs w:val="20"/>
        </w:rPr>
        <w:t xml:space="preserve">     Technologický problém so zastaraným redakčným systémom </w:t>
      </w:r>
      <w:proofErr w:type="spellStart"/>
      <w:r w:rsidRPr="001F1974">
        <w:rPr>
          <w:i/>
          <w:sz w:val="20"/>
          <w:szCs w:val="20"/>
        </w:rPr>
        <w:t>Typlan</w:t>
      </w:r>
      <w:proofErr w:type="spellEnd"/>
      <w:r w:rsidRPr="001F1974">
        <w:rPr>
          <w:i/>
          <w:sz w:val="20"/>
          <w:szCs w:val="20"/>
        </w:rPr>
        <w:t xml:space="preserve"> viedol k vypracovaniu komplexnej </w:t>
      </w:r>
      <w:r w:rsidRPr="001F1974">
        <w:rPr>
          <w:b/>
          <w:i/>
          <w:sz w:val="20"/>
          <w:szCs w:val="20"/>
        </w:rPr>
        <w:t>Štúdie uskutočniteľnosti Redakčného systému novej generácie,</w:t>
      </w:r>
      <w:r w:rsidRPr="001F1974">
        <w:rPr>
          <w:i/>
          <w:sz w:val="20"/>
          <w:szCs w:val="20"/>
        </w:rPr>
        <w:t xml:space="preserve"> ktorú pre agentúru vypracovala nezávislá spoločnosť. Štúdia pomenúva všetky potrebné parametre výstavby a rozvoja nového systéme, keďže existujúci je v havarijnom stave. </w:t>
      </w:r>
    </w:p>
    <w:p w:rsidR="001F1974" w:rsidRPr="001F1974" w:rsidRDefault="001F1974" w:rsidP="001F1974">
      <w:pPr>
        <w:tabs>
          <w:tab w:val="left" w:pos="10773"/>
        </w:tabs>
        <w:spacing w:after="120"/>
        <w:ind w:right="-40"/>
        <w:jc w:val="both"/>
        <w:rPr>
          <w:i/>
          <w:sz w:val="20"/>
          <w:szCs w:val="20"/>
        </w:rPr>
      </w:pPr>
      <w:r w:rsidRPr="001F1974">
        <w:rPr>
          <w:i/>
          <w:sz w:val="20"/>
          <w:szCs w:val="20"/>
        </w:rPr>
        <w:t xml:space="preserve">     V rámci investícií došlo po dlhých rokoch k </w:t>
      </w:r>
      <w:r w:rsidRPr="001F1974">
        <w:rPr>
          <w:b/>
          <w:i/>
          <w:sz w:val="20"/>
          <w:szCs w:val="20"/>
        </w:rPr>
        <w:t xml:space="preserve">nahradeniu zastaraného </w:t>
      </w:r>
      <w:proofErr w:type="spellStart"/>
      <w:r w:rsidRPr="001F1974">
        <w:rPr>
          <w:b/>
          <w:i/>
          <w:sz w:val="20"/>
          <w:szCs w:val="20"/>
        </w:rPr>
        <w:t>hardwéru</w:t>
      </w:r>
      <w:proofErr w:type="spellEnd"/>
      <w:r w:rsidRPr="001F1974">
        <w:rPr>
          <w:b/>
          <w:i/>
          <w:sz w:val="20"/>
          <w:szCs w:val="20"/>
        </w:rPr>
        <w:t xml:space="preserve"> v TASR</w:t>
      </w:r>
      <w:r w:rsidRPr="001F1974">
        <w:rPr>
          <w:i/>
          <w:sz w:val="20"/>
          <w:szCs w:val="20"/>
        </w:rPr>
        <w:t xml:space="preserve"> a implementácii nového virtuálneho systému, čo významne zvýši prevádzku, bezpečnosť, komfort a možnosti technológií. </w:t>
      </w:r>
    </w:p>
    <w:p w:rsidR="001F1974" w:rsidRPr="001F1974" w:rsidRDefault="001F1974" w:rsidP="001F1974">
      <w:pPr>
        <w:tabs>
          <w:tab w:val="left" w:pos="10773"/>
        </w:tabs>
        <w:spacing w:after="120"/>
        <w:ind w:right="-40"/>
        <w:jc w:val="both"/>
        <w:rPr>
          <w:i/>
          <w:sz w:val="20"/>
          <w:szCs w:val="20"/>
        </w:rPr>
      </w:pPr>
      <w:r w:rsidRPr="001F1974">
        <w:rPr>
          <w:i/>
          <w:sz w:val="20"/>
          <w:szCs w:val="20"/>
        </w:rPr>
        <w:t xml:space="preserve">     V závere roka došlo k príprave koncepcie </w:t>
      </w:r>
      <w:r w:rsidRPr="001F1974">
        <w:rPr>
          <w:b/>
          <w:i/>
          <w:sz w:val="20"/>
          <w:szCs w:val="20"/>
        </w:rPr>
        <w:t>Akadémie TASR</w:t>
      </w:r>
      <w:r w:rsidRPr="001F1974">
        <w:rPr>
          <w:i/>
          <w:sz w:val="20"/>
          <w:szCs w:val="20"/>
        </w:rPr>
        <w:t xml:space="preserve">, ktorá by mala prezentovať dôležitosť informácií z kvalitného zdroja pre starostov, primátorov, samosprávy. </w:t>
      </w:r>
    </w:p>
    <w:p w:rsidR="001F1974" w:rsidRPr="001F1974" w:rsidRDefault="001F1974" w:rsidP="001F1974">
      <w:pPr>
        <w:tabs>
          <w:tab w:val="left" w:pos="10773"/>
        </w:tabs>
        <w:spacing w:after="120"/>
        <w:ind w:right="-40"/>
        <w:jc w:val="both"/>
        <w:rPr>
          <w:i/>
          <w:sz w:val="20"/>
          <w:szCs w:val="20"/>
        </w:rPr>
      </w:pPr>
      <w:r w:rsidRPr="001F1974">
        <w:rPr>
          <w:i/>
          <w:sz w:val="20"/>
          <w:szCs w:val="20"/>
        </w:rPr>
        <w:t xml:space="preserve">     TASR vstúpila do rokovania so Slovenským národným archívom, ktorý spravuje vzácny fotografický a textový archív z obdobia slovenského štátu. </w:t>
      </w:r>
    </w:p>
    <w:p w:rsidR="001F1974" w:rsidRPr="001F1974" w:rsidRDefault="001F1974" w:rsidP="001F1974">
      <w:pPr>
        <w:spacing w:after="120"/>
        <w:jc w:val="both"/>
        <w:rPr>
          <w:rFonts w:cs="Arial"/>
          <w:i/>
          <w:sz w:val="20"/>
          <w:szCs w:val="20"/>
        </w:rPr>
      </w:pPr>
      <w:r w:rsidRPr="001F1974">
        <w:rPr>
          <w:rFonts w:cs="Arial"/>
          <w:b/>
          <w:i/>
          <w:sz w:val="20"/>
          <w:szCs w:val="20"/>
        </w:rPr>
        <w:lastRenderedPageBreak/>
        <w:t xml:space="preserve">     Rastový potenciál ukázal web Teraz.sk.</w:t>
      </w:r>
      <w:r w:rsidRPr="001F1974">
        <w:rPr>
          <w:rFonts w:cs="Arial"/>
          <w:i/>
          <w:sz w:val="20"/>
          <w:szCs w:val="20"/>
        </w:rPr>
        <w:t xml:space="preserve"> Ak v decembri 2018 dosiahol portál Teraz.sk podľa Google </w:t>
      </w:r>
      <w:proofErr w:type="spellStart"/>
      <w:r w:rsidRPr="001F1974">
        <w:rPr>
          <w:rFonts w:cs="Arial"/>
          <w:i/>
          <w:sz w:val="20"/>
          <w:szCs w:val="20"/>
        </w:rPr>
        <w:t>Analytics</w:t>
      </w:r>
      <w:proofErr w:type="spellEnd"/>
      <w:r w:rsidRPr="001F1974">
        <w:rPr>
          <w:rFonts w:cs="Arial"/>
          <w:i/>
          <w:sz w:val="20"/>
          <w:szCs w:val="20"/>
        </w:rPr>
        <w:t xml:space="preserve"> 539 212 návštevníkov (2 167 688 zobrazení stránky), v decembri 2019 to bolo 677 092 návštevníkov (4 664 097 zobrazení stránky). </w:t>
      </w:r>
    </w:p>
    <w:p w:rsidR="001F1974" w:rsidRPr="001F1974" w:rsidRDefault="001F1974" w:rsidP="001F1974">
      <w:pPr>
        <w:tabs>
          <w:tab w:val="left" w:pos="10773"/>
        </w:tabs>
        <w:spacing w:after="120"/>
        <w:ind w:right="-40"/>
        <w:jc w:val="both"/>
        <w:rPr>
          <w:i/>
          <w:sz w:val="20"/>
          <w:szCs w:val="20"/>
        </w:rPr>
      </w:pPr>
      <w:r w:rsidRPr="001F1974">
        <w:rPr>
          <w:i/>
          <w:sz w:val="20"/>
          <w:szCs w:val="20"/>
        </w:rPr>
        <w:t xml:space="preserve">     TASR je postavená na ľuďoch. Náklady na mzdy tvoria dominantnú časť rozpočtu agentúry. Mzdy nie sú často konkurencieschopné v porovnaní s inými médiami a kvalitní redaktori odchádzajú často za lepšou ponukou. Po dvoch rokoch došlo k valorizácii miezd. Vynútenými navýšením boli rôzne náklady, ktoré vyplynuli z legislatívy a TASR sa s nimi musela v rámci svojho rozpočtu vyrovnať (rekreačné poukazy, príplatky za víkendy, sviatky, navýšenie stravnej jednotky...). </w:t>
      </w:r>
    </w:p>
    <w:p w:rsidR="001F1974" w:rsidRDefault="001F1974" w:rsidP="001F1974">
      <w:pPr>
        <w:spacing w:after="120"/>
        <w:jc w:val="both"/>
        <w:rPr>
          <w:rFonts w:cs="Arial"/>
          <w:i/>
          <w:sz w:val="20"/>
          <w:szCs w:val="20"/>
        </w:rPr>
      </w:pPr>
      <w:r w:rsidRPr="001F1974">
        <w:rPr>
          <w:rFonts w:cs="Arial"/>
          <w:b/>
          <w:i/>
          <w:sz w:val="20"/>
          <w:szCs w:val="20"/>
        </w:rPr>
        <w:t xml:space="preserve">     Produkty TASR odoberajú všetky relevantné médiá na Slovensku a významné zahraničné agentúry. </w:t>
      </w:r>
      <w:r w:rsidRPr="001F1974">
        <w:rPr>
          <w:rFonts w:cs="Arial"/>
          <w:i/>
          <w:sz w:val="20"/>
          <w:szCs w:val="20"/>
        </w:rPr>
        <w:t>Žiaden veľký klient neodstúpil od zmluvy s TASR, ktorá je dnes agentúrou prvej voľby. TASR má povesť dobrej značky a správy agentúry sú považované za férové, kvalitné informácie z </w:t>
      </w:r>
      <w:proofErr w:type="spellStart"/>
      <w:r w:rsidRPr="001F1974">
        <w:rPr>
          <w:rFonts w:cs="Arial"/>
          <w:i/>
          <w:sz w:val="20"/>
          <w:szCs w:val="20"/>
        </w:rPr>
        <w:t>kredibilného</w:t>
      </w:r>
      <w:proofErr w:type="spellEnd"/>
      <w:r w:rsidRPr="001F1974">
        <w:rPr>
          <w:rFonts w:cs="Arial"/>
          <w:i/>
          <w:sz w:val="20"/>
          <w:szCs w:val="20"/>
        </w:rPr>
        <w:t xml:space="preserve"> zdroja. </w:t>
      </w:r>
    </w:p>
    <w:p w:rsidR="001F1974" w:rsidRDefault="001F1974" w:rsidP="001F1974">
      <w:pPr>
        <w:spacing w:after="120"/>
        <w:jc w:val="both"/>
        <w:rPr>
          <w:rFonts w:cs="Arial"/>
          <w:i/>
          <w:sz w:val="20"/>
          <w:szCs w:val="20"/>
        </w:rPr>
      </w:pPr>
    </w:p>
    <w:p w:rsidR="001F1974" w:rsidRDefault="001F1974" w:rsidP="001F1974">
      <w:pPr>
        <w:spacing w:after="120"/>
        <w:jc w:val="both"/>
        <w:rPr>
          <w:rFonts w:cs="Arial"/>
          <w:sz w:val="20"/>
          <w:szCs w:val="20"/>
        </w:rPr>
      </w:pPr>
      <w:r>
        <w:rPr>
          <w:rFonts w:cs="Arial"/>
          <w:sz w:val="20"/>
          <w:szCs w:val="20"/>
        </w:rPr>
        <w:t>Správna rada TASR vzala materiál na vedomie.</w:t>
      </w:r>
    </w:p>
    <w:p w:rsidR="001F1974" w:rsidRDefault="001F1974" w:rsidP="001F1974">
      <w:pPr>
        <w:spacing w:after="120"/>
        <w:jc w:val="both"/>
        <w:rPr>
          <w:rFonts w:cs="Arial"/>
          <w:b/>
          <w:sz w:val="20"/>
          <w:szCs w:val="20"/>
        </w:rPr>
      </w:pPr>
      <w:r>
        <w:rPr>
          <w:rFonts w:cs="Arial"/>
          <w:b/>
          <w:sz w:val="20"/>
          <w:szCs w:val="20"/>
        </w:rPr>
        <w:t>----------------------------------------------------------------------------------------------------------------------------------------------------</w:t>
      </w:r>
    </w:p>
    <w:p w:rsidR="001F1974" w:rsidRPr="001F1974" w:rsidRDefault="001F1974" w:rsidP="001F1974">
      <w:pPr>
        <w:tabs>
          <w:tab w:val="left" w:pos="567"/>
        </w:tabs>
        <w:rPr>
          <w:rFonts w:asciiTheme="minorHAnsi" w:hAnsiTheme="minorHAnsi" w:cstheme="minorHAnsi"/>
          <w:b/>
          <w:sz w:val="20"/>
          <w:szCs w:val="20"/>
        </w:rPr>
      </w:pPr>
      <w:r w:rsidRPr="001F1974">
        <w:rPr>
          <w:rFonts w:asciiTheme="minorHAnsi" w:hAnsiTheme="minorHAnsi" w:cstheme="minorHAnsi"/>
          <w:b/>
          <w:sz w:val="20"/>
          <w:szCs w:val="20"/>
        </w:rPr>
        <w:t>2. Rôzne</w:t>
      </w:r>
    </w:p>
    <w:p w:rsidR="00DA68CE" w:rsidRDefault="001F1974" w:rsidP="001F1974">
      <w:pPr>
        <w:spacing w:after="120"/>
        <w:jc w:val="both"/>
        <w:rPr>
          <w:rFonts w:cs="Arial"/>
          <w:sz w:val="20"/>
          <w:szCs w:val="20"/>
        </w:rPr>
      </w:pPr>
      <w:r>
        <w:rPr>
          <w:rFonts w:cs="Arial"/>
          <w:sz w:val="20"/>
          <w:szCs w:val="20"/>
        </w:rPr>
        <w:t xml:space="preserve">Predseda Správnej rady J. </w:t>
      </w:r>
      <w:proofErr w:type="spellStart"/>
      <w:r>
        <w:rPr>
          <w:rFonts w:cs="Arial"/>
          <w:sz w:val="20"/>
          <w:szCs w:val="20"/>
        </w:rPr>
        <w:t>Tuhovčák</w:t>
      </w:r>
      <w:proofErr w:type="spellEnd"/>
      <w:r>
        <w:rPr>
          <w:rFonts w:cs="Arial"/>
          <w:sz w:val="20"/>
          <w:szCs w:val="20"/>
        </w:rPr>
        <w:t xml:space="preserve"> upozornil na fakt, že funkčné obdobie p</w:t>
      </w:r>
      <w:r w:rsidR="00DA68CE">
        <w:rPr>
          <w:rFonts w:cs="Arial"/>
          <w:sz w:val="20"/>
          <w:szCs w:val="20"/>
        </w:rPr>
        <w:t>redsedu a podpredsedu SR sa chýli</w:t>
      </w:r>
      <w:r>
        <w:rPr>
          <w:rFonts w:cs="Arial"/>
          <w:sz w:val="20"/>
          <w:szCs w:val="20"/>
        </w:rPr>
        <w:t xml:space="preserve"> ku koncu, a preto je potrebné pristúpiť k novej voľbe.</w:t>
      </w:r>
    </w:p>
    <w:p w:rsidR="001F1974" w:rsidRDefault="001F1974" w:rsidP="001F1974">
      <w:pPr>
        <w:spacing w:after="120"/>
        <w:jc w:val="both"/>
        <w:rPr>
          <w:rFonts w:cs="Arial"/>
          <w:i/>
          <w:sz w:val="20"/>
          <w:szCs w:val="20"/>
        </w:rPr>
      </w:pPr>
      <w:r>
        <w:rPr>
          <w:rFonts w:cs="Arial"/>
          <w:sz w:val="20"/>
          <w:szCs w:val="20"/>
        </w:rPr>
        <w:t xml:space="preserve"> Ako pripomenul, podľa článku 2, ods. 3 Rokovacieho poriadku</w:t>
      </w:r>
      <w:r w:rsidR="00DA68CE">
        <w:rPr>
          <w:rFonts w:cs="Arial"/>
          <w:sz w:val="20"/>
          <w:szCs w:val="20"/>
        </w:rPr>
        <w:t xml:space="preserve"> Správnej rady TASR si </w:t>
      </w:r>
      <w:r w:rsidR="00DA68CE" w:rsidRPr="00DA68CE">
        <w:rPr>
          <w:rFonts w:cs="Arial"/>
          <w:i/>
          <w:sz w:val="20"/>
          <w:szCs w:val="20"/>
        </w:rPr>
        <w:t>predsedu a podpredsedu zo svojich členov volí správna rada nadpolovičnou väčšinou hlasov všetkých členov správnej rady. Predseda a podpredseda sú volení na obdobie jedného ro</w:t>
      </w:r>
      <w:r w:rsidR="00DA68CE">
        <w:rPr>
          <w:rFonts w:cs="Arial"/>
          <w:i/>
          <w:sz w:val="20"/>
          <w:szCs w:val="20"/>
        </w:rPr>
        <w:t>ka a môžu byť zvolení opakovane</w:t>
      </w:r>
      <w:r w:rsidR="00DA68CE" w:rsidRPr="00DA68CE">
        <w:rPr>
          <w:rFonts w:cs="Arial"/>
          <w:i/>
          <w:sz w:val="20"/>
          <w:szCs w:val="20"/>
        </w:rPr>
        <w:t>.</w:t>
      </w:r>
    </w:p>
    <w:p w:rsidR="00DA68CE" w:rsidRDefault="00DA68CE" w:rsidP="001F1974">
      <w:pPr>
        <w:spacing w:after="120"/>
        <w:jc w:val="both"/>
        <w:rPr>
          <w:rFonts w:cs="Arial"/>
          <w:sz w:val="20"/>
          <w:szCs w:val="20"/>
        </w:rPr>
      </w:pPr>
      <w:r>
        <w:rPr>
          <w:rFonts w:cs="Arial"/>
          <w:sz w:val="20"/>
          <w:szCs w:val="20"/>
        </w:rPr>
        <w:t xml:space="preserve">J. </w:t>
      </w:r>
      <w:proofErr w:type="spellStart"/>
      <w:r>
        <w:rPr>
          <w:rFonts w:cs="Arial"/>
          <w:sz w:val="20"/>
          <w:szCs w:val="20"/>
        </w:rPr>
        <w:t>Tuhovčák</w:t>
      </w:r>
      <w:proofErr w:type="spellEnd"/>
      <w:r>
        <w:rPr>
          <w:rFonts w:cs="Arial"/>
          <w:sz w:val="20"/>
          <w:szCs w:val="20"/>
        </w:rPr>
        <w:t xml:space="preserve"> vyzval členov SR TASR, aby predložili návrhy na kandidátov na obe funkcie.</w:t>
      </w:r>
    </w:p>
    <w:p w:rsidR="00DA68CE" w:rsidRDefault="00DA68CE" w:rsidP="001F1974">
      <w:pPr>
        <w:spacing w:after="120"/>
        <w:jc w:val="both"/>
        <w:rPr>
          <w:rFonts w:cs="Arial"/>
          <w:sz w:val="20"/>
          <w:szCs w:val="20"/>
        </w:rPr>
      </w:pPr>
      <w:r>
        <w:rPr>
          <w:rFonts w:cs="Arial"/>
          <w:sz w:val="20"/>
          <w:szCs w:val="20"/>
        </w:rPr>
        <w:t xml:space="preserve">Á. </w:t>
      </w:r>
      <w:proofErr w:type="spellStart"/>
      <w:r>
        <w:rPr>
          <w:rFonts w:cs="Arial"/>
          <w:sz w:val="20"/>
          <w:szCs w:val="20"/>
        </w:rPr>
        <w:t>Korpás</w:t>
      </w:r>
      <w:proofErr w:type="spellEnd"/>
      <w:r>
        <w:rPr>
          <w:rFonts w:cs="Arial"/>
          <w:sz w:val="20"/>
          <w:szCs w:val="20"/>
        </w:rPr>
        <w:t xml:space="preserve"> navrhol do funkcie predsedu SR TASR P. </w:t>
      </w:r>
      <w:proofErr w:type="spellStart"/>
      <w:r>
        <w:rPr>
          <w:rFonts w:cs="Arial"/>
          <w:sz w:val="20"/>
          <w:szCs w:val="20"/>
        </w:rPr>
        <w:t>Mestického</w:t>
      </w:r>
      <w:proofErr w:type="spellEnd"/>
      <w:r>
        <w:rPr>
          <w:rFonts w:cs="Arial"/>
          <w:sz w:val="20"/>
          <w:szCs w:val="20"/>
        </w:rPr>
        <w:t>, ktorý návrh prijal.</w:t>
      </w:r>
    </w:p>
    <w:p w:rsidR="00DA68CE" w:rsidRDefault="00DA68CE" w:rsidP="001F1974">
      <w:pPr>
        <w:spacing w:after="120"/>
        <w:jc w:val="both"/>
        <w:rPr>
          <w:rFonts w:cs="Arial"/>
          <w:sz w:val="20"/>
          <w:szCs w:val="20"/>
        </w:rPr>
      </w:pPr>
      <w:r>
        <w:rPr>
          <w:rFonts w:cs="Arial"/>
          <w:sz w:val="20"/>
          <w:szCs w:val="20"/>
        </w:rPr>
        <w:t xml:space="preserve">J. </w:t>
      </w:r>
      <w:proofErr w:type="spellStart"/>
      <w:r>
        <w:rPr>
          <w:rFonts w:cs="Arial"/>
          <w:sz w:val="20"/>
          <w:szCs w:val="20"/>
        </w:rPr>
        <w:t>Tuhovčák</w:t>
      </w:r>
      <w:proofErr w:type="spellEnd"/>
      <w:r>
        <w:rPr>
          <w:rFonts w:cs="Arial"/>
          <w:sz w:val="20"/>
          <w:szCs w:val="20"/>
        </w:rPr>
        <w:t xml:space="preserve"> predložil návrh na uznesenie:</w:t>
      </w:r>
    </w:p>
    <w:p w:rsidR="00DA68CE" w:rsidRDefault="00DA68CE" w:rsidP="00DA68CE">
      <w:pPr>
        <w:rPr>
          <w:rFonts w:asciiTheme="minorHAnsi" w:hAnsiTheme="minorHAnsi" w:cstheme="minorHAnsi"/>
          <w:b/>
          <w:sz w:val="20"/>
          <w:szCs w:val="20"/>
        </w:rPr>
      </w:pPr>
    </w:p>
    <w:p w:rsidR="00DA68CE" w:rsidRDefault="00DA68CE" w:rsidP="00DA68CE">
      <w:pPr>
        <w:rPr>
          <w:rFonts w:asciiTheme="minorHAnsi" w:hAnsiTheme="minorHAnsi" w:cstheme="minorHAnsi"/>
          <w:b/>
          <w:sz w:val="20"/>
          <w:szCs w:val="20"/>
        </w:rPr>
      </w:pPr>
      <w:r>
        <w:rPr>
          <w:rFonts w:asciiTheme="minorHAnsi" w:hAnsiTheme="minorHAnsi" w:cstheme="minorHAnsi"/>
          <w:b/>
          <w:sz w:val="20"/>
          <w:szCs w:val="20"/>
        </w:rPr>
        <w:t>UZNESENIE č. 5/2020</w:t>
      </w:r>
      <w:r w:rsidRPr="007E50BB">
        <w:rPr>
          <w:rFonts w:asciiTheme="minorHAnsi" w:hAnsiTheme="minorHAnsi" w:cstheme="minorHAnsi"/>
          <w:b/>
          <w:sz w:val="20"/>
          <w:szCs w:val="20"/>
        </w:rPr>
        <w:t>:</w:t>
      </w:r>
    </w:p>
    <w:p w:rsidR="00DA68CE" w:rsidRDefault="00DA68CE" w:rsidP="00DA68CE">
      <w:pPr>
        <w:rPr>
          <w:rFonts w:asciiTheme="minorHAnsi" w:hAnsiTheme="minorHAnsi" w:cstheme="minorHAnsi"/>
          <w:sz w:val="20"/>
          <w:szCs w:val="20"/>
        </w:rPr>
      </w:pPr>
      <w:r w:rsidRPr="00DA68CE">
        <w:rPr>
          <w:rFonts w:asciiTheme="minorHAnsi" w:hAnsiTheme="minorHAnsi" w:cstheme="minorHAnsi"/>
          <w:sz w:val="20"/>
          <w:szCs w:val="20"/>
        </w:rPr>
        <w:t>Správna rada TASR zvolila</w:t>
      </w:r>
      <w:r>
        <w:rPr>
          <w:rFonts w:asciiTheme="minorHAnsi" w:hAnsiTheme="minorHAnsi" w:cstheme="minorHAnsi"/>
          <w:sz w:val="20"/>
          <w:szCs w:val="20"/>
        </w:rPr>
        <w:t xml:space="preserve"> za svojho predsedu P. </w:t>
      </w:r>
      <w:proofErr w:type="spellStart"/>
      <w:r>
        <w:rPr>
          <w:rFonts w:asciiTheme="minorHAnsi" w:hAnsiTheme="minorHAnsi" w:cstheme="minorHAnsi"/>
          <w:sz w:val="20"/>
          <w:szCs w:val="20"/>
        </w:rPr>
        <w:t>Mestického</w:t>
      </w:r>
      <w:proofErr w:type="spellEnd"/>
      <w:r>
        <w:rPr>
          <w:rFonts w:asciiTheme="minorHAnsi" w:hAnsiTheme="minorHAnsi" w:cstheme="minorHAnsi"/>
          <w:sz w:val="20"/>
          <w:szCs w:val="20"/>
        </w:rPr>
        <w:t xml:space="preserve"> na obdobie 12 mesiacov, t.j. od 1. marca 2020 do 28. februára 2021.</w:t>
      </w:r>
    </w:p>
    <w:p w:rsidR="00DA68CE" w:rsidRPr="007E50BB" w:rsidRDefault="00DA68CE" w:rsidP="00DA68CE">
      <w:pPr>
        <w:rPr>
          <w:rFonts w:asciiTheme="minorHAnsi" w:hAnsiTheme="minorHAnsi" w:cstheme="minorHAnsi"/>
          <w:sz w:val="20"/>
          <w:szCs w:val="20"/>
        </w:rPr>
      </w:pPr>
      <w:r w:rsidRPr="00DA68CE">
        <w:rPr>
          <w:rFonts w:asciiTheme="minorHAnsi" w:hAnsiTheme="minorHAnsi" w:cstheme="minorHAnsi"/>
          <w:sz w:val="20"/>
          <w:szCs w:val="20"/>
        </w:rPr>
        <w:t xml:space="preserve"> </w:t>
      </w:r>
      <w:r>
        <w:rPr>
          <w:rFonts w:asciiTheme="minorHAnsi" w:hAnsiTheme="minorHAnsi" w:cstheme="minorHAnsi"/>
          <w:sz w:val="20"/>
          <w:szCs w:val="20"/>
        </w:rPr>
        <w:t>ZA: 4</w:t>
      </w:r>
      <w:r w:rsidRPr="007E50BB">
        <w:rPr>
          <w:rFonts w:asciiTheme="minorHAnsi" w:hAnsiTheme="minorHAnsi" w:cstheme="minorHAnsi"/>
          <w:sz w:val="20"/>
          <w:szCs w:val="20"/>
        </w:rPr>
        <w:t xml:space="preserve">                 PROTI: 0 </w:t>
      </w:r>
      <w:r>
        <w:rPr>
          <w:rFonts w:asciiTheme="minorHAnsi" w:hAnsiTheme="minorHAnsi" w:cstheme="minorHAnsi"/>
          <w:sz w:val="20"/>
          <w:szCs w:val="20"/>
        </w:rPr>
        <w:t xml:space="preserve">                    ZDRŽAL SA: 1</w:t>
      </w:r>
    </w:p>
    <w:p w:rsidR="00DA68CE" w:rsidRDefault="00DA68CE" w:rsidP="00DA68CE">
      <w:pPr>
        <w:rPr>
          <w:rFonts w:asciiTheme="minorHAnsi" w:hAnsiTheme="minorHAnsi" w:cstheme="minorHAnsi"/>
          <w:b/>
          <w:sz w:val="20"/>
          <w:szCs w:val="20"/>
        </w:rPr>
      </w:pPr>
      <w:r w:rsidRPr="007E50BB">
        <w:rPr>
          <w:rFonts w:asciiTheme="minorHAnsi" w:hAnsiTheme="minorHAnsi" w:cstheme="minorHAnsi"/>
          <w:b/>
          <w:sz w:val="20"/>
          <w:szCs w:val="20"/>
        </w:rPr>
        <w:t>Uznesenie bolo prijaté.</w:t>
      </w:r>
    </w:p>
    <w:p w:rsidR="00DA68CE" w:rsidRPr="00DA68CE" w:rsidRDefault="00DA68CE" w:rsidP="00DA68CE">
      <w:pPr>
        <w:rPr>
          <w:rFonts w:asciiTheme="minorHAnsi" w:hAnsiTheme="minorHAnsi" w:cstheme="minorHAnsi"/>
          <w:sz w:val="20"/>
          <w:szCs w:val="20"/>
        </w:rPr>
      </w:pPr>
    </w:p>
    <w:p w:rsidR="00DA68CE" w:rsidRDefault="00DA68CE" w:rsidP="00DA68CE">
      <w:pPr>
        <w:rPr>
          <w:rFonts w:asciiTheme="minorHAnsi" w:hAnsiTheme="minorHAnsi" w:cstheme="minorHAnsi"/>
          <w:sz w:val="20"/>
          <w:szCs w:val="20"/>
        </w:rPr>
      </w:pPr>
      <w:r w:rsidRPr="00DA68CE">
        <w:rPr>
          <w:rFonts w:asciiTheme="minorHAnsi" w:hAnsiTheme="minorHAnsi" w:cstheme="minorHAnsi"/>
          <w:sz w:val="20"/>
          <w:szCs w:val="20"/>
        </w:rPr>
        <w:t xml:space="preserve">P. </w:t>
      </w:r>
      <w:proofErr w:type="spellStart"/>
      <w:r w:rsidRPr="00DA68CE">
        <w:rPr>
          <w:rFonts w:asciiTheme="minorHAnsi" w:hAnsiTheme="minorHAnsi" w:cstheme="minorHAnsi"/>
          <w:sz w:val="20"/>
          <w:szCs w:val="20"/>
        </w:rPr>
        <w:t>Mestický</w:t>
      </w:r>
      <w:proofErr w:type="spellEnd"/>
      <w:r>
        <w:rPr>
          <w:rFonts w:asciiTheme="minorHAnsi" w:hAnsiTheme="minorHAnsi" w:cstheme="minorHAnsi"/>
          <w:sz w:val="20"/>
          <w:szCs w:val="20"/>
        </w:rPr>
        <w:t xml:space="preserve"> navrhol na post podpredsedu SR TASR Á. </w:t>
      </w:r>
      <w:proofErr w:type="spellStart"/>
      <w:r>
        <w:rPr>
          <w:rFonts w:asciiTheme="minorHAnsi" w:hAnsiTheme="minorHAnsi" w:cstheme="minorHAnsi"/>
          <w:sz w:val="20"/>
          <w:szCs w:val="20"/>
        </w:rPr>
        <w:t>Korpása</w:t>
      </w:r>
      <w:proofErr w:type="spellEnd"/>
      <w:r>
        <w:rPr>
          <w:rFonts w:asciiTheme="minorHAnsi" w:hAnsiTheme="minorHAnsi" w:cstheme="minorHAnsi"/>
          <w:sz w:val="20"/>
          <w:szCs w:val="20"/>
        </w:rPr>
        <w:t>, ktorý návrh prijal.</w:t>
      </w:r>
    </w:p>
    <w:p w:rsidR="00DA68CE" w:rsidRDefault="00DA68CE" w:rsidP="00DA68CE">
      <w:pPr>
        <w:spacing w:after="120"/>
        <w:jc w:val="both"/>
        <w:rPr>
          <w:rFonts w:cs="Arial"/>
          <w:sz w:val="20"/>
          <w:szCs w:val="20"/>
        </w:rPr>
      </w:pPr>
      <w:r>
        <w:rPr>
          <w:rFonts w:cs="Arial"/>
          <w:sz w:val="20"/>
          <w:szCs w:val="20"/>
        </w:rPr>
        <w:t xml:space="preserve">J. </w:t>
      </w:r>
      <w:proofErr w:type="spellStart"/>
      <w:r>
        <w:rPr>
          <w:rFonts w:cs="Arial"/>
          <w:sz w:val="20"/>
          <w:szCs w:val="20"/>
        </w:rPr>
        <w:t>Tuhovčák</w:t>
      </w:r>
      <w:proofErr w:type="spellEnd"/>
      <w:r>
        <w:rPr>
          <w:rFonts w:cs="Arial"/>
          <w:sz w:val="20"/>
          <w:szCs w:val="20"/>
        </w:rPr>
        <w:t xml:space="preserve"> predložil návrh na uznesenie:</w:t>
      </w:r>
    </w:p>
    <w:p w:rsidR="00DA68CE" w:rsidRDefault="00DA68CE" w:rsidP="00DA68CE">
      <w:pPr>
        <w:spacing w:after="120"/>
        <w:jc w:val="both"/>
        <w:rPr>
          <w:rFonts w:cs="Arial"/>
          <w:sz w:val="20"/>
          <w:szCs w:val="20"/>
        </w:rPr>
      </w:pPr>
    </w:p>
    <w:p w:rsidR="00DA68CE" w:rsidRDefault="00DA68CE" w:rsidP="00DA68CE">
      <w:pPr>
        <w:rPr>
          <w:rFonts w:asciiTheme="minorHAnsi" w:hAnsiTheme="minorHAnsi" w:cstheme="minorHAnsi"/>
          <w:b/>
          <w:sz w:val="20"/>
          <w:szCs w:val="20"/>
        </w:rPr>
      </w:pPr>
    </w:p>
    <w:p w:rsidR="00DA68CE" w:rsidRDefault="00DA68CE" w:rsidP="00DA68CE">
      <w:pPr>
        <w:rPr>
          <w:rFonts w:asciiTheme="minorHAnsi" w:hAnsiTheme="minorHAnsi" w:cstheme="minorHAnsi"/>
          <w:b/>
          <w:sz w:val="20"/>
          <w:szCs w:val="20"/>
        </w:rPr>
      </w:pPr>
      <w:r>
        <w:rPr>
          <w:rFonts w:asciiTheme="minorHAnsi" w:hAnsiTheme="minorHAnsi" w:cstheme="minorHAnsi"/>
          <w:b/>
          <w:sz w:val="20"/>
          <w:szCs w:val="20"/>
        </w:rPr>
        <w:t>UZNESENIE č. 6/2020</w:t>
      </w:r>
      <w:r w:rsidRPr="007E50BB">
        <w:rPr>
          <w:rFonts w:asciiTheme="minorHAnsi" w:hAnsiTheme="minorHAnsi" w:cstheme="minorHAnsi"/>
          <w:b/>
          <w:sz w:val="20"/>
          <w:szCs w:val="20"/>
        </w:rPr>
        <w:t>:</w:t>
      </w:r>
    </w:p>
    <w:p w:rsidR="00DA68CE" w:rsidRDefault="00DA68CE" w:rsidP="00DA68CE">
      <w:pPr>
        <w:rPr>
          <w:rFonts w:asciiTheme="minorHAnsi" w:hAnsiTheme="minorHAnsi" w:cstheme="minorHAnsi"/>
          <w:sz w:val="20"/>
          <w:szCs w:val="20"/>
        </w:rPr>
      </w:pPr>
      <w:r w:rsidRPr="00DA68CE">
        <w:rPr>
          <w:rFonts w:asciiTheme="minorHAnsi" w:hAnsiTheme="minorHAnsi" w:cstheme="minorHAnsi"/>
          <w:sz w:val="20"/>
          <w:szCs w:val="20"/>
        </w:rPr>
        <w:t>Správna rada TASR zvolila</w:t>
      </w:r>
      <w:r>
        <w:rPr>
          <w:rFonts w:asciiTheme="minorHAnsi" w:hAnsiTheme="minorHAnsi" w:cstheme="minorHAnsi"/>
          <w:sz w:val="20"/>
          <w:szCs w:val="20"/>
        </w:rPr>
        <w:t xml:space="preserve"> za svojho podpredsedu Á. </w:t>
      </w:r>
      <w:proofErr w:type="spellStart"/>
      <w:r>
        <w:rPr>
          <w:rFonts w:asciiTheme="minorHAnsi" w:hAnsiTheme="minorHAnsi" w:cstheme="minorHAnsi"/>
          <w:sz w:val="20"/>
          <w:szCs w:val="20"/>
        </w:rPr>
        <w:t>Korpása</w:t>
      </w:r>
      <w:proofErr w:type="spellEnd"/>
      <w:r>
        <w:rPr>
          <w:rFonts w:asciiTheme="minorHAnsi" w:hAnsiTheme="minorHAnsi" w:cstheme="minorHAnsi"/>
          <w:sz w:val="20"/>
          <w:szCs w:val="20"/>
        </w:rPr>
        <w:t xml:space="preserve"> na obdobie 12 mesiacov, t.j. od 1. marca 2020 do 28. februára 2021.</w:t>
      </w:r>
    </w:p>
    <w:p w:rsidR="00DA68CE" w:rsidRPr="007E50BB" w:rsidRDefault="00DA68CE" w:rsidP="00DA68CE">
      <w:pPr>
        <w:rPr>
          <w:rFonts w:asciiTheme="minorHAnsi" w:hAnsiTheme="minorHAnsi" w:cstheme="minorHAnsi"/>
          <w:sz w:val="20"/>
          <w:szCs w:val="20"/>
        </w:rPr>
      </w:pPr>
      <w:r w:rsidRPr="00DA68CE">
        <w:rPr>
          <w:rFonts w:asciiTheme="minorHAnsi" w:hAnsiTheme="minorHAnsi" w:cstheme="minorHAnsi"/>
          <w:sz w:val="20"/>
          <w:szCs w:val="20"/>
        </w:rPr>
        <w:t xml:space="preserve"> </w:t>
      </w:r>
      <w:r>
        <w:rPr>
          <w:rFonts w:asciiTheme="minorHAnsi" w:hAnsiTheme="minorHAnsi" w:cstheme="minorHAnsi"/>
          <w:sz w:val="20"/>
          <w:szCs w:val="20"/>
        </w:rPr>
        <w:t>ZA: 4</w:t>
      </w:r>
      <w:r w:rsidRPr="007E50BB">
        <w:rPr>
          <w:rFonts w:asciiTheme="minorHAnsi" w:hAnsiTheme="minorHAnsi" w:cstheme="minorHAnsi"/>
          <w:sz w:val="20"/>
          <w:szCs w:val="20"/>
        </w:rPr>
        <w:t xml:space="preserve">                 PROTI: 0 </w:t>
      </w:r>
      <w:r>
        <w:rPr>
          <w:rFonts w:asciiTheme="minorHAnsi" w:hAnsiTheme="minorHAnsi" w:cstheme="minorHAnsi"/>
          <w:sz w:val="20"/>
          <w:szCs w:val="20"/>
        </w:rPr>
        <w:t xml:space="preserve">                    ZDRŽAL SA: 1</w:t>
      </w:r>
    </w:p>
    <w:p w:rsidR="00DA68CE" w:rsidRDefault="00DA68CE" w:rsidP="00DA68CE">
      <w:pPr>
        <w:rPr>
          <w:rFonts w:asciiTheme="minorHAnsi" w:hAnsiTheme="minorHAnsi" w:cstheme="minorHAnsi"/>
          <w:b/>
          <w:sz w:val="20"/>
          <w:szCs w:val="20"/>
        </w:rPr>
      </w:pPr>
      <w:r w:rsidRPr="007E50BB">
        <w:rPr>
          <w:rFonts w:asciiTheme="minorHAnsi" w:hAnsiTheme="minorHAnsi" w:cstheme="minorHAnsi"/>
          <w:b/>
          <w:sz w:val="20"/>
          <w:szCs w:val="20"/>
        </w:rPr>
        <w:t>Uznesenie bolo prijaté.</w:t>
      </w:r>
    </w:p>
    <w:p w:rsidR="0078206B" w:rsidRDefault="0078206B" w:rsidP="00DA68CE">
      <w:pPr>
        <w:rPr>
          <w:rFonts w:asciiTheme="minorHAnsi" w:hAnsiTheme="minorHAnsi" w:cstheme="minorHAnsi"/>
          <w:b/>
          <w:sz w:val="20"/>
          <w:szCs w:val="20"/>
        </w:rPr>
      </w:pPr>
    </w:p>
    <w:p w:rsidR="0078206B" w:rsidRPr="003910CB" w:rsidRDefault="0078206B" w:rsidP="0078206B">
      <w:pPr>
        <w:tabs>
          <w:tab w:val="left" w:pos="567"/>
        </w:tabs>
        <w:rPr>
          <w:rFonts w:cs="Calibri"/>
          <w:b/>
          <w:sz w:val="20"/>
          <w:szCs w:val="20"/>
        </w:rPr>
      </w:pPr>
      <w:r w:rsidRPr="007E50BB">
        <w:rPr>
          <w:rFonts w:asciiTheme="minorHAnsi" w:hAnsiTheme="minorHAnsi" w:cstheme="minorHAnsi"/>
          <w:sz w:val="20"/>
          <w:szCs w:val="20"/>
        </w:rPr>
        <w:t>Členovia Správnej rady TASR sa dohodli n</w:t>
      </w:r>
      <w:r>
        <w:rPr>
          <w:rFonts w:asciiTheme="minorHAnsi" w:hAnsiTheme="minorHAnsi" w:cstheme="minorHAnsi"/>
          <w:sz w:val="20"/>
          <w:szCs w:val="20"/>
        </w:rPr>
        <w:t xml:space="preserve">a najbližšom termíne rokovania  17. marca 2020 </w:t>
      </w:r>
      <w:r w:rsidRPr="007E50BB">
        <w:rPr>
          <w:rFonts w:asciiTheme="minorHAnsi" w:hAnsiTheme="minorHAnsi" w:cstheme="minorHAnsi"/>
          <w:sz w:val="20"/>
          <w:szCs w:val="20"/>
        </w:rPr>
        <w:t>o 15:00.</w:t>
      </w:r>
    </w:p>
    <w:p w:rsidR="0078206B" w:rsidRPr="007E50BB" w:rsidRDefault="0078206B" w:rsidP="0078206B">
      <w:pPr>
        <w:spacing w:after="0" w:line="240" w:lineRule="auto"/>
        <w:ind w:left="360"/>
        <w:rPr>
          <w:rFonts w:asciiTheme="minorHAnsi" w:hAnsiTheme="minorHAnsi" w:cstheme="minorHAnsi"/>
          <w:sz w:val="20"/>
          <w:szCs w:val="20"/>
        </w:rPr>
      </w:pPr>
    </w:p>
    <w:p w:rsidR="0078206B" w:rsidRPr="007E50BB" w:rsidRDefault="0078206B" w:rsidP="0078206B">
      <w:pPr>
        <w:rPr>
          <w:rFonts w:asciiTheme="minorHAnsi" w:hAnsiTheme="minorHAnsi" w:cstheme="minorHAnsi"/>
          <w:sz w:val="20"/>
          <w:szCs w:val="20"/>
        </w:rPr>
      </w:pPr>
      <w:r w:rsidRPr="007E50BB">
        <w:rPr>
          <w:rFonts w:asciiTheme="minorHAnsi" w:hAnsiTheme="minorHAnsi" w:cstheme="minorHAnsi"/>
          <w:sz w:val="20"/>
          <w:szCs w:val="20"/>
        </w:rPr>
        <w:t xml:space="preserve">Predseda SR TASR J. </w:t>
      </w:r>
      <w:proofErr w:type="spellStart"/>
      <w:r w:rsidRPr="007E50BB">
        <w:rPr>
          <w:rFonts w:asciiTheme="minorHAnsi" w:hAnsiTheme="minorHAnsi" w:cstheme="minorHAnsi"/>
          <w:sz w:val="20"/>
          <w:szCs w:val="20"/>
        </w:rPr>
        <w:t>Tuhovčák</w:t>
      </w:r>
      <w:proofErr w:type="spellEnd"/>
      <w:r w:rsidRPr="007E50BB">
        <w:rPr>
          <w:rFonts w:asciiTheme="minorHAnsi" w:hAnsiTheme="minorHAnsi" w:cstheme="minorHAnsi"/>
          <w:sz w:val="20"/>
          <w:szCs w:val="20"/>
        </w:rPr>
        <w:t xml:space="preserve"> v súlade s Rokovacím poriadkom SR TASR ukončil zasadnutie rady.</w:t>
      </w:r>
    </w:p>
    <w:p w:rsidR="0078206B" w:rsidRPr="007E50BB" w:rsidRDefault="0078206B" w:rsidP="0078206B">
      <w:pPr>
        <w:rPr>
          <w:rFonts w:asciiTheme="minorHAnsi" w:hAnsiTheme="minorHAnsi" w:cstheme="minorHAnsi"/>
          <w:sz w:val="20"/>
          <w:szCs w:val="20"/>
        </w:rPr>
      </w:pPr>
      <w:r w:rsidRPr="007E50BB">
        <w:rPr>
          <w:rFonts w:asciiTheme="minorHAnsi" w:hAnsiTheme="minorHAnsi" w:cstheme="minorHAnsi"/>
          <w:sz w:val="20"/>
          <w:szCs w:val="20"/>
        </w:rPr>
        <w:t xml:space="preserve">Bratislava, </w:t>
      </w:r>
      <w:r>
        <w:rPr>
          <w:rFonts w:asciiTheme="minorHAnsi" w:hAnsiTheme="minorHAnsi" w:cstheme="minorHAnsi"/>
          <w:sz w:val="20"/>
          <w:szCs w:val="20"/>
        </w:rPr>
        <w:t xml:space="preserve"> 25. februára 2020</w:t>
      </w:r>
    </w:p>
    <w:p w:rsidR="0078206B" w:rsidRDefault="0078206B" w:rsidP="0078206B">
      <w:pPr>
        <w:rPr>
          <w:rFonts w:asciiTheme="minorHAnsi" w:hAnsiTheme="minorHAnsi" w:cstheme="minorHAnsi"/>
          <w:sz w:val="20"/>
          <w:szCs w:val="20"/>
        </w:rPr>
      </w:pPr>
      <w:r w:rsidRPr="007E50BB">
        <w:rPr>
          <w:rFonts w:asciiTheme="minorHAnsi" w:hAnsiTheme="minorHAnsi" w:cstheme="minorHAnsi"/>
          <w:sz w:val="20"/>
          <w:szCs w:val="20"/>
        </w:rPr>
        <w:t xml:space="preserve">Zapísal: </w:t>
      </w:r>
    </w:p>
    <w:p w:rsidR="0078206B" w:rsidRPr="007E50BB" w:rsidRDefault="0078206B" w:rsidP="0078206B">
      <w:pPr>
        <w:rPr>
          <w:rFonts w:asciiTheme="minorHAnsi" w:hAnsiTheme="minorHAnsi" w:cstheme="minorHAnsi"/>
          <w:sz w:val="20"/>
          <w:szCs w:val="20"/>
        </w:rPr>
      </w:pPr>
    </w:p>
    <w:p w:rsidR="0078206B" w:rsidRPr="007E50BB" w:rsidRDefault="0078206B" w:rsidP="0078206B">
      <w:pPr>
        <w:rPr>
          <w:rFonts w:asciiTheme="minorHAnsi" w:hAnsiTheme="minorHAnsi" w:cstheme="minorHAnsi"/>
          <w:sz w:val="20"/>
          <w:szCs w:val="20"/>
        </w:rPr>
      </w:pPr>
    </w:p>
    <w:p w:rsidR="0078206B" w:rsidRPr="007E50BB" w:rsidRDefault="0078206B" w:rsidP="0078206B">
      <w:pPr>
        <w:rPr>
          <w:rFonts w:asciiTheme="minorHAnsi" w:hAnsiTheme="minorHAnsi" w:cstheme="minorHAnsi"/>
          <w:sz w:val="20"/>
          <w:szCs w:val="20"/>
        </w:rPr>
      </w:pPr>
    </w:p>
    <w:p w:rsidR="0078206B" w:rsidRPr="007E50BB" w:rsidRDefault="0078206B" w:rsidP="0078206B">
      <w:pPr>
        <w:rPr>
          <w:rFonts w:asciiTheme="minorHAnsi" w:hAnsiTheme="minorHAnsi" w:cstheme="minorHAnsi"/>
          <w:sz w:val="20"/>
          <w:szCs w:val="20"/>
        </w:rPr>
      </w:pPr>
      <w:r w:rsidRPr="007E50BB">
        <w:rPr>
          <w:rFonts w:asciiTheme="minorHAnsi" w:hAnsiTheme="minorHAnsi" w:cstheme="minorHAnsi"/>
          <w:sz w:val="20"/>
          <w:szCs w:val="20"/>
        </w:rPr>
        <w:t xml:space="preserve"> </w:t>
      </w:r>
    </w:p>
    <w:p w:rsidR="0078206B" w:rsidRPr="007E50BB" w:rsidRDefault="0078206B" w:rsidP="0078206B">
      <w:pPr>
        <w:rPr>
          <w:rFonts w:asciiTheme="minorHAnsi" w:hAnsiTheme="minorHAnsi" w:cstheme="minorHAnsi"/>
          <w:sz w:val="20"/>
          <w:szCs w:val="20"/>
        </w:rPr>
      </w:pPr>
      <w:r w:rsidRPr="007E50BB">
        <w:rPr>
          <w:rFonts w:asciiTheme="minorHAnsi" w:hAnsiTheme="minorHAnsi" w:cstheme="minorHAnsi"/>
          <w:sz w:val="20"/>
          <w:szCs w:val="20"/>
        </w:rPr>
        <w:t xml:space="preserve">Jozef </w:t>
      </w:r>
      <w:proofErr w:type="spellStart"/>
      <w:r w:rsidRPr="007E50BB">
        <w:rPr>
          <w:rFonts w:asciiTheme="minorHAnsi" w:hAnsiTheme="minorHAnsi" w:cstheme="minorHAnsi"/>
          <w:sz w:val="20"/>
          <w:szCs w:val="20"/>
        </w:rPr>
        <w:t>Tuhovčák</w:t>
      </w:r>
      <w:proofErr w:type="spellEnd"/>
      <w:r w:rsidRPr="007E50BB">
        <w:rPr>
          <w:rFonts w:asciiTheme="minorHAnsi" w:hAnsiTheme="minorHAnsi" w:cstheme="minorHAnsi"/>
          <w:sz w:val="20"/>
          <w:szCs w:val="20"/>
        </w:rPr>
        <w:t xml:space="preserve">  </w:t>
      </w:r>
      <w:proofErr w:type="spellStart"/>
      <w:r w:rsidRPr="007E50BB">
        <w:rPr>
          <w:rFonts w:asciiTheme="minorHAnsi" w:hAnsiTheme="minorHAnsi" w:cstheme="minorHAnsi"/>
          <w:sz w:val="20"/>
          <w:szCs w:val="20"/>
        </w:rPr>
        <w:t>v.r</w:t>
      </w:r>
      <w:proofErr w:type="spellEnd"/>
      <w:r w:rsidRPr="007E50BB">
        <w:rPr>
          <w:rFonts w:asciiTheme="minorHAnsi" w:hAnsiTheme="minorHAnsi" w:cstheme="minorHAnsi"/>
          <w:sz w:val="20"/>
          <w:szCs w:val="20"/>
        </w:rPr>
        <w:t>.</w:t>
      </w:r>
    </w:p>
    <w:p w:rsidR="0078206B" w:rsidRPr="007E50BB" w:rsidRDefault="0078206B" w:rsidP="0078206B">
      <w:pPr>
        <w:spacing w:after="0" w:line="240" w:lineRule="auto"/>
        <w:ind w:left="360"/>
        <w:rPr>
          <w:rFonts w:asciiTheme="minorHAnsi" w:hAnsiTheme="minorHAnsi" w:cstheme="minorHAnsi"/>
          <w:sz w:val="20"/>
          <w:szCs w:val="20"/>
        </w:rPr>
      </w:pPr>
    </w:p>
    <w:p w:rsidR="0078206B" w:rsidRPr="007E50BB" w:rsidRDefault="0078206B" w:rsidP="0078206B">
      <w:pPr>
        <w:spacing w:after="0" w:line="240" w:lineRule="auto"/>
        <w:ind w:left="360"/>
        <w:rPr>
          <w:rFonts w:asciiTheme="minorHAnsi" w:hAnsiTheme="minorHAnsi" w:cstheme="minorHAnsi"/>
          <w:sz w:val="20"/>
          <w:szCs w:val="20"/>
        </w:rPr>
      </w:pPr>
    </w:p>
    <w:p w:rsidR="0078206B" w:rsidRPr="007E50BB" w:rsidRDefault="0078206B" w:rsidP="0078206B">
      <w:pPr>
        <w:rPr>
          <w:rFonts w:asciiTheme="minorHAnsi" w:hAnsiTheme="minorHAnsi" w:cstheme="minorHAnsi"/>
          <w:bCs/>
          <w:sz w:val="20"/>
          <w:szCs w:val="20"/>
        </w:rPr>
      </w:pPr>
    </w:p>
    <w:p w:rsidR="0078206B" w:rsidRPr="0078206B" w:rsidRDefault="0078206B" w:rsidP="00DA68CE">
      <w:pPr>
        <w:rPr>
          <w:rFonts w:asciiTheme="minorHAnsi" w:hAnsiTheme="minorHAnsi" w:cstheme="minorHAnsi"/>
          <w:sz w:val="20"/>
          <w:szCs w:val="20"/>
        </w:rPr>
      </w:pPr>
    </w:p>
    <w:p w:rsidR="00DA68CE" w:rsidRDefault="00DA68CE" w:rsidP="00DA68CE">
      <w:pPr>
        <w:rPr>
          <w:rFonts w:asciiTheme="minorHAnsi" w:hAnsiTheme="minorHAnsi" w:cstheme="minorHAnsi"/>
          <w:b/>
          <w:sz w:val="20"/>
          <w:szCs w:val="20"/>
        </w:rPr>
      </w:pPr>
    </w:p>
    <w:p w:rsidR="00DA68CE" w:rsidRDefault="00DA68CE" w:rsidP="00DA68CE">
      <w:pPr>
        <w:spacing w:after="120"/>
        <w:jc w:val="both"/>
        <w:rPr>
          <w:rFonts w:cs="Arial"/>
          <w:sz w:val="20"/>
          <w:szCs w:val="20"/>
        </w:rPr>
      </w:pPr>
    </w:p>
    <w:p w:rsidR="00DA68CE" w:rsidRPr="00DA68CE" w:rsidRDefault="00DA68CE" w:rsidP="00DA68CE">
      <w:pPr>
        <w:rPr>
          <w:rFonts w:asciiTheme="minorHAnsi" w:hAnsiTheme="minorHAnsi" w:cstheme="minorHAnsi"/>
          <w:sz w:val="20"/>
          <w:szCs w:val="20"/>
        </w:rPr>
      </w:pPr>
    </w:p>
    <w:p w:rsidR="00DA68CE" w:rsidRDefault="00DA68CE" w:rsidP="00DA68CE">
      <w:pPr>
        <w:rPr>
          <w:rFonts w:asciiTheme="minorHAnsi" w:hAnsiTheme="minorHAnsi" w:cstheme="minorHAnsi"/>
          <w:b/>
          <w:sz w:val="20"/>
          <w:szCs w:val="20"/>
        </w:rPr>
      </w:pPr>
    </w:p>
    <w:p w:rsidR="00DA68CE" w:rsidRDefault="00DA68CE" w:rsidP="001F1974">
      <w:pPr>
        <w:spacing w:after="120"/>
        <w:jc w:val="both"/>
        <w:rPr>
          <w:rFonts w:cs="Arial"/>
          <w:sz w:val="20"/>
          <w:szCs w:val="20"/>
        </w:rPr>
      </w:pPr>
    </w:p>
    <w:p w:rsidR="00DA68CE" w:rsidRPr="00DA68CE" w:rsidRDefault="00DA68CE" w:rsidP="001F1974">
      <w:pPr>
        <w:spacing w:after="120"/>
        <w:jc w:val="both"/>
        <w:rPr>
          <w:rFonts w:cs="Arial"/>
          <w:sz w:val="20"/>
          <w:szCs w:val="20"/>
        </w:rPr>
      </w:pPr>
    </w:p>
    <w:p w:rsidR="001F1974" w:rsidRPr="001F1974" w:rsidRDefault="001F1974" w:rsidP="001F1974">
      <w:pPr>
        <w:spacing w:after="120"/>
        <w:jc w:val="both"/>
        <w:rPr>
          <w:rFonts w:cs="Arial"/>
          <w:sz w:val="20"/>
          <w:szCs w:val="20"/>
        </w:rPr>
      </w:pPr>
    </w:p>
    <w:p w:rsidR="001F1974" w:rsidRPr="001F1974" w:rsidRDefault="001F1974" w:rsidP="001F1974">
      <w:pPr>
        <w:tabs>
          <w:tab w:val="left" w:pos="10773"/>
        </w:tabs>
        <w:spacing w:after="120"/>
        <w:ind w:right="-40"/>
        <w:jc w:val="both"/>
        <w:rPr>
          <w:sz w:val="20"/>
          <w:szCs w:val="20"/>
        </w:rPr>
      </w:pPr>
    </w:p>
    <w:p w:rsidR="001F1974" w:rsidRPr="001F1974" w:rsidRDefault="001F1974" w:rsidP="001F1974">
      <w:pPr>
        <w:rPr>
          <w:rFonts w:asciiTheme="minorHAnsi" w:hAnsiTheme="minorHAnsi" w:cstheme="minorHAnsi"/>
          <w:sz w:val="20"/>
          <w:szCs w:val="20"/>
        </w:rPr>
      </w:pPr>
    </w:p>
    <w:p w:rsidR="001F1974" w:rsidRPr="001F1974" w:rsidRDefault="001F1974" w:rsidP="001F1974">
      <w:pPr>
        <w:tabs>
          <w:tab w:val="left" w:pos="6330"/>
        </w:tabs>
        <w:rPr>
          <w:rFonts w:asciiTheme="minorHAnsi" w:hAnsiTheme="minorHAnsi" w:cstheme="minorHAnsi"/>
          <w:b/>
          <w:sz w:val="20"/>
          <w:szCs w:val="20"/>
        </w:rPr>
      </w:pPr>
    </w:p>
    <w:p w:rsidR="008D052F" w:rsidRPr="001F1974" w:rsidRDefault="008D052F">
      <w:pPr>
        <w:rPr>
          <w:sz w:val="20"/>
          <w:szCs w:val="20"/>
        </w:rPr>
      </w:pPr>
    </w:p>
    <w:sectPr w:rsidR="008D052F" w:rsidRPr="001F1974" w:rsidSect="008D0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F1974"/>
    <w:rsid w:val="001F1974"/>
    <w:rsid w:val="005471D0"/>
    <w:rsid w:val="00675A0D"/>
    <w:rsid w:val="0078206B"/>
    <w:rsid w:val="008D052F"/>
    <w:rsid w:val="00B90418"/>
    <w:rsid w:val="00DA68CE"/>
    <w:rsid w:val="00E55F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9F2D07-AE90-4980-A6AF-46197F9C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F1974"/>
    <w:pPr>
      <w:spacing w:after="160" w:line="25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F1974"/>
    <w:pPr>
      <w:spacing w:after="200" w:line="276" w:lineRule="auto"/>
      <w:ind w:left="720"/>
      <w:contextualSpacing/>
    </w:pPr>
    <w:rPr>
      <w:rFonts w:eastAsia="Times New Roman"/>
    </w:rPr>
  </w:style>
  <w:style w:type="paragraph" w:styleId="Pta">
    <w:name w:val="footer"/>
    <w:basedOn w:val="Normlny"/>
    <w:link w:val="PtaChar"/>
    <w:unhideWhenUsed/>
    <w:rsid w:val="001F1974"/>
    <w:pPr>
      <w:tabs>
        <w:tab w:val="center" w:pos="4536"/>
        <w:tab w:val="right" w:pos="9072"/>
      </w:tabs>
      <w:spacing w:after="0" w:line="240" w:lineRule="auto"/>
    </w:pPr>
    <w:rPr>
      <w:rFonts w:ascii="Times New Roman" w:eastAsia="Times New Roman" w:hAnsi="Times New Roman"/>
      <w:szCs w:val="20"/>
      <w:lang w:eastAsia="sk-SK"/>
    </w:rPr>
  </w:style>
  <w:style w:type="character" w:customStyle="1" w:styleId="PtaChar">
    <w:name w:val="Päta Char"/>
    <w:basedOn w:val="Predvolenpsmoodseku"/>
    <w:link w:val="Pta"/>
    <w:rsid w:val="001F1974"/>
    <w:rPr>
      <w:rFonts w:ascii="Times New Roman" w:eastAsia="Times New Roman" w:hAnsi="Times New Roman" w:cs="Times New Roman"/>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1449</Words>
  <Characters>8262</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Holásková</dc:creator>
  <cp:lastModifiedBy>Vladimír Puchala</cp:lastModifiedBy>
  <cp:revision>5</cp:revision>
  <dcterms:created xsi:type="dcterms:W3CDTF">2020-02-27T09:46:00Z</dcterms:created>
  <dcterms:modified xsi:type="dcterms:W3CDTF">2020-02-27T12:31:00Z</dcterms:modified>
</cp:coreProperties>
</file>