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10" w:rsidRDefault="00CC7F10" w:rsidP="00CC7F1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</w:t>
      </w:r>
      <w:r w:rsidR="007B713C">
        <w:rPr>
          <w:rFonts w:asciiTheme="minorHAnsi" w:hAnsiTheme="minorHAnsi"/>
          <w:b/>
          <w:sz w:val="20"/>
          <w:szCs w:val="20"/>
        </w:rPr>
        <w:t xml:space="preserve">       </w:t>
      </w:r>
      <w:r>
        <w:rPr>
          <w:rFonts w:asciiTheme="minorHAnsi" w:hAnsiTheme="minorHAnsi"/>
          <w:b/>
          <w:sz w:val="20"/>
          <w:szCs w:val="20"/>
        </w:rPr>
        <w:t>ZÁPIS č. 7</w:t>
      </w:r>
    </w:p>
    <w:p w:rsidR="00CC7F10" w:rsidRPr="000A69B5" w:rsidRDefault="00CC7F10" w:rsidP="00CC7F10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 w:rsidRPr="000A69B5">
        <w:rPr>
          <w:rFonts w:asciiTheme="minorHAnsi" w:hAnsiTheme="minorHAnsi"/>
          <w:b/>
          <w:sz w:val="20"/>
          <w:szCs w:val="20"/>
        </w:rPr>
        <w:t>Z RIADNEHO ZASADNUTIA SPRÁVNEJ RADY TASR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CC7F10" w:rsidRDefault="00CC7F10" w:rsidP="00CC7F10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   2. júla 2019</w:t>
      </w:r>
      <w:r w:rsidRPr="000A69B5">
        <w:rPr>
          <w:rFonts w:asciiTheme="minorHAnsi" w:hAnsiTheme="minorHAnsi"/>
          <w:b/>
          <w:sz w:val="20"/>
          <w:szCs w:val="20"/>
        </w:rPr>
        <w:t xml:space="preserve"> so začiatkom o </w:t>
      </w:r>
      <w:r>
        <w:rPr>
          <w:rFonts w:asciiTheme="minorHAnsi" w:hAnsiTheme="minorHAnsi"/>
          <w:b/>
          <w:sz w:val="20"/>
          <w:szCs w:val="20"/>
        </w:rPr>
        <w:t>15.00</w:t>
      </w:r>
      <w:r w:rsidRPr="000A69B5">
        <w:rPr>
          <w:rFonts w:asciiTheme="minorHAnsi" w:hAnsiTheme="minorHAnsi"/>
          <w:b/>
          <w:sz w:val="20"/>
          <w:szCs w:val="20"/>
        </w:rPr>
        <w:t xml:space="preserve"> h</w:t>
      </w:r>
      <w:r>
        <w:rPr>
          <w:rFonts w:asciiTheme="minorHAnsi" w:hAnsiTheme="minorHAnsi"/>
          <w:b/>
          <w:sz w:val="20"/>
          <w:szCs w:val="20"/>
        </w:rPr>
        <w:tab/>
      </w:r>
    </w:p>
    <w:p w:rsidR="00CC7F10" w:rsidRDefault="00CC7F10" w:rsidP="00CC7F10">
      <w:pPr>
        <w:tabs>
          <w:tab w:val="left" w:pos="371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</w:p>
    <w:p w:rsidR="00CC7F10" w:rsidRDefault="00CC7F10" w:rsidP="00CC7F10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Prítomní členovia Správnej rady: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Jozef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>
        <w:rPr>
          <w:rFonts w:asciiTheme="minorHAnsi" w:hAnsiTheme="minorHAnsi"/>
          <w:sz w:val="20"/>
          <w:szCs w:val="20"/>
        </w:rPr>
        <w:t xml:space="preserve">, Ladislav Mikuš, Alena </w:t>
      </w:r>
      <w:proofErr w:type="spellStart"/>
      <w:r>
        <w:rPr>
          <w:rFonts w:asciiTheme="minorHAnsi" w:hAnsiTheme="minorHAnsi"/>
          <w:sz w:val="20"/>
          <w:szCs w:val="20"/>
        </w:rPr>
        <w:t>Klepochová</w:t>
      </w:r>
      <w:proofErr w:type="spellEnd"/>
      <w:r>
        <w:rPr>
          <w:rFonts w:asciiTheme="minorHAnsi" w:hAnsiTheme="minorHAnsi"/>
          <w:sz w:val="20"/>
          <w:szCs w:val="20"/>
        </w:rPr>
        <w:t xml:space="preserve"> , </w:t>
      </w:r>
      <w:proofErr w:type="spellStart"/>
      <w:r>
        <w:rPr>
          <w:rFonts w:asciiTheme="minorHAnsi" w:hAnsiTheme="minorHAnsi"/>
          <w:sz w:val="20"/>
          <w:szCs w:val="20"/>
        </w:rPr>
        <w:t>Árpád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Korpás</w:t>
      </w:r>
      <w:proofErr w:type="spellEnd"/>
      <w:r>
        <w:rPr>
          <w:rFonts w:asciiTheme="minorHAnsi" w:hAnsiTheme="minorHAnsi"/>
          <w:sz w:val="20"/>
          <w:szCs w:val="20"/>
        </w:rPr>
        <w:t xml:space="preserve">, Peter </w:t>
      </w:r>
      <w:proofErr w:type="spellStart"/>
      <w:r>
        <w:rPr>
          <w:rFonts w:asciiTheme="minorHAnsi" w:hAnsiTheme="minorHAnsi"/>
          <w:sz w:val="20"/>
          <w:szCs w:val="20"/>
        </w:rPr>
        <w:t>Mestický</w:t>
      </w:r>
      <w:proofErr w:type="spellEnd"/>
    </w:p>
    <w:p w:rsidR="00CC7F10" w:rsidRDefault="00CC7F10" w:rsidP="00CC7F10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Ospravedlnení: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</w:p>
    <w:p w:rsidR="00CC7F10" w:rsidRPr="000A69B5" w:rsidRDefault="00CC7F10" w:rsidP="00CC7F10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Hostia: </w:t>
      </w:r>
      <w:r w:rsidRPr="000A69B5">
        <w:rPr>
          <w:rFonts w:asciiTheme="minorHAnsi" w:hAnsiTheme="minorHAnsi"/>
          <w:sz w:val="20"/>
          <w:szCs w:val="20"/>
        </w:rPr>
        <w:t>Vladimír Puchala, generálny riaditeľ TASR</w:t>
      </w:r>
    </w:p>
    <w:p w:rsidR="00CC7F10" w:rsidRPr="000A69B5" w:rsidRDefault="00CC7F10" w:rsidP="00CC7F10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0A69B5">
        <w:rPr>
          <w:rFonts w:asciiTheme="minorHAnsi" w:hAnsiTheme="minorHAnsi"/>
          <w:sz w:val="20"/>
          <w:szCs w:val="20"/>
        </w:rPr>
        <w:t>TASR, Dúbravská cesta 14, Bratislava</w:t>
      </w:r>
    </w:p>
    <w:p w:rsidR="00CC7F10" w:rsidRDefault="00CC7F10" w:rsidP="00CC7F1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CC7F10" w:rsidRDefault="00CC7F10" w:rsidP="00CC7F10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sz w:val="20"/>
          <w:szCs w:val="20"/>
        </w:rPr>
        <w:t>Rokovanie v zmysle čl. 3, 5, ods. 1 a čl. 9 ods. 6 Rokovacieho poriadku SR TASR viedol predseda SR TASR</w:t>
      </w:r>
      <w:r>
        <w:rPr>
          <w:rFonts w:asciiTheme="minorHAnsi" w:hAnsiTheme="minorHAnsi"/>
          <w:sz w:val="20"/>
          <w:szCs w:val="20"/>
        </w:rPr>
        <w:t xml:space="preserve"> Jozef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 w:rsidRPr="000A69B5">
        <w:rPr>
          <w:rFonts w:asciiTheme="minorHAnsi" w:hAnsiTheme="minorHAnsi"/>
          <w:sz w:val="20"/>
          <w:szCs w:val="20"/>
        </w:rPr>
        <w:t>. Konštatoval, že rada je uznášaniaschopná, navrhol program zasadnutia a dal o ňom hlasovať.</w:t>
      </w:r>
    </w:p>
    <w:p w:rsidR="00CC7F10" w:rsidRPr="00CC7F10" w:rsidRDefault="00CC7F10" w:rsidP="00CC7F10">
      <w:pPr>
        <w:rPr>
          <w:rFonts w:asciiTheme="minorHAnsi" w:hAnsiTheme="minorHAnsi" w:cstheme="minorHAnsi"/>
          <w:b/>
          <w:sz w:val="20"/>
          <w:szCs w:val="20"/>
        </w:rPr>
      </w:pPr>
      <w:r w:rsidRPr="00CC7F10">
        <w:rPr>
          <w:rFonts w:asciiTheme="minorHAnsi" w:hAnsiTheme="minorHAnsi" w:cstheme="minorHAnsi"/>
          <w:b/>
          <w:sz w:val="20"/>
          <w:szCs w:val="20"/>
        </w:rPr>
        <w:t xml:space="preserve">Program: </w:t>
      </w:r>
    </w:p>
    <w:p w:rsidR="002644D1" w:rsidRDefault="00CC7F10" w:rsidP="00CC7F10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CC7F10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2644D1">
        <w:rPr>
          <w:rFonts w:asciiTheme="minorHAnsi" w:hAnsiTheme="minorHAnsi" w:cstheme="minorHAnsi"/>
          <w:b/>
          <w:sz w:val="20"/>
          <w:szCs w:val="20"/>
        </w:rPr>
        <w:t xml:space="preserve">Štúdia realizovateľnosti pre nový redakčný systém novej generácie pre TASR. </w:t>
      </w:r>
    </w:p>
    <w:p w:rsidR="00CC7F10" w:rsidRDefault="00CC7F10" w:rsidP="00CC7F10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CC7F10">
        <w:rPr>
          <w:rFonts w:asciiTheme="minorHAnsi" w:hAnsiTheme="minorHAnsi" w:cstheme="minorHAnsi"/>
          <w:b/>
          <w:sz w:val="20"/>
          <w:szCs w:val="20"/>
        </w:rPr>
        <w:t>2. Rôzne</w:t>
      </w:r>
    </w:p>
    <w:p w:rsidR="00CC7F10" w:rsidRDefault="00CC7F10" w:rsidP="00CC7F1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20/2019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CC7F10" w:rsidRPr="003E2245" w:rsidRDefault="00CC7F10" w:rsidP="00CC7F10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Členovia SR TASR schválili program zasadnutia:</w:t>
      </w:r>
    </w:p>
    <w:p w:rsidR="00CC7F10" w:rsidRPr="003E2245" w:rsidRDefault="00CC7F10" w:rsidP="00CC7F1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CC7F10" w:rsidRDefault="00CC7F10" w:rsidP="00CC7F10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2644D1" w:rsidRPr="003E2245" w:rsidRDefault="002644D1" w:rsidP="00CC7F10">
      <w:pPr>
        <w:rPr>
          <w:rFonts w:asciiTheme="minorHAnsi" w:hAnsiTheme="minorHAnsi"/>
          <w:b/>
          <w:sz w:val="20"/>
          <w:szCs w:val="20"/>
        </w:rPr>
      </w:pPr>
    </w:p>
    <w:p w:rsidR="00CC7F10" w:rsidRDefault="00CC7F10" w:rsidP="00CC7F10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2644D1" w:rsidRDefault="002644D1" w:rsidP="002644D1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CC7F10">
        <w:rPr>
          <w:rFonts w:asciiTheme="minorHAnsi" w:hAnsiTheme="minorHAnsi" w:cstheme="minorHAnsi"/>
          <w:b/>
          <w:sz w:val="20"/>
          <w:szCs w:val="20"/>
        </w:rPr>
        <w:t xml:space="preserve">1. </w:t>
      </w:r>
      <w:r>
        <w:rPr>
          <w:rFonts w:asciiTheme="minorHAnsi" w:hAnsiTheme="minorHAnsi" w:cstheme="minorHAnsi"/>
          <w:b/>
          <w:sz w:val="20"/>
          <w:szCs w:val="20"/>
        </w:rPr>
        <w:t xml:space="preserve">Štúdia realizovateľnosti pre nový redakčný systém novej generácie pre TASR. </w:t>
      </w:r>
    </w:p>
    <w:p w:rsidR="0031426D" w:rsidRDefault="0031426D" w:rsidP="00CC7F10">
      <w:pPr>
        <w:tabs>
          <w:tab w:val="left" w:pos="6330"/>
        </w:tabs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V. Puchala </w:t>
      </w:r>
      <w:r w:rsidR="002644D1">
        <w:rPr>
          <w:rFonts w:asciiTheme="minorHAnsi" w:hAnsiTheme="minorHAnsi" w:cstheme="minorHAnsi"/>
          <w:i/>
          <w:sz w:val="20"/>
          <w:szCs w:val="20"/>
        </w:rPr>
        <w:t>i</w:t>
      </w:r>
      <w:r>
        <w:rPr>
          <w:rFonts w:asciiTheme="minorHAnsi" w:hAnsiTheme="minorHAnsi" w:cstheme="minorHAnsi"/>
          <w:i/>
          <w:sz w:val="20"/>
          <w:szCs w:val="20"/>
        </w:rPr>
        <w:t xml:space="preserve">nformoval o potrebe nového redakčného systému TASR. Prvým krokom v tomto procese by mala byť </w:t>
      </w:r>
      <w:r w:rsidR="002644D1">
        <w:rPr>
          <w:rFonts w:asciiTheme="minorHAnsi" w:hAnsiTheme="minorHAnsi" w:cstheme="minorHAnsi"/>
          <w:i/>
          <w:sz w:val="20"/>
          <w:szCs w:val="20"/>
        </w:rPr>
        <w:t>štúdia realizovateľnosti</w:t>
      </w:r>
      <w:r w:rsidR="008928F2">
        <w:rPr>
          <w:rFonts w:asciiTheme="minorHAnsi" w:hAnsiTheme="minorHAnsi" w:cstheme="minorHAnsi"/>
          <w:i/>
          <w:sz w:val="20"/>
          <w:szCs w:val="20"/>
        </w:rPr>
        <w:t xml:space="preserve">, vypracovaná nezávislým kompetentným subjektom, ktorá popíše súčasný stav, parametre nového systému, potrebné procesy i cenové rozpätia. Na základe tejto štúdie bude sa TASR uchádzať o kapitálové prostriedky </w:t>
      </w:r>
      <w:r w:rsidR="002644D1">
        <w:rPr>
          <w:rFonts w:asciiTheme="minorHAnsi" w:hAnsiTheme="minorHAnsi" w:cstheme="minorHAnsi"/>
          <w:i/>
          <w:sz w:val="20"/>
          <w:szCs w:val="20"/>
        </w:rPr>
        <w:t>na verejné obstaranie</w:t>
      </w:r>
      <w:r w:rsidR="008928F2">
        <w:rPr>
          <w:rFonts w:asciiTheme="minorHAnsi" w:hAnsiTheme="minorHAnsi" w:cstheme="minorHAnsi"/>
          <w:i/>
          <w:sz w:val="20"/>
          <w:szCs w:val="20"/>
        </w:rPr>
        <w:t xml:space="preserve"> systému. </w:t>
      </w:r>
    </w:p>
    <w:p w:rsidR="00CC7F10" w:rsidRPr="00D019E9" w:rsidRDefault="00CC7F10" w:rsidP="00CC7F10">
      <w:pPr>
        <w:tabs>
          <w:tab w:val="left" w:pos="6330"/>
        </w:tabs>
        <w:rPr>
          <w:rFonts w:asciiTheme="minorHAnsi" w:hAnsiTheme="minorHAnsi" w:cstheme="minorHAnsi"/>
          <w:b/>
          <w:i/>
          <w:sz w:val="20"/>
          <w:szCs w:val="20"/>
        </w:rPr>
      </w:pPr>
      <w:r w:rsidRPr="00D019E9">
        <w:rPr>
          <w:rFonts w:asciiTheme="minorHAnsi" w:hAnsiTheme="minorHAnsi" w:cstheme="minorHAnsi"/>
          <w:i/>
          <w:sz w:val="20"/>
          <w:szCs w:val="20"/>
        </w:rPr>
        <w:t xml:space="preserve">Podľa V. </w:t>
      </w:r>
      <w:proofErr w:type="spellStart"/>
      <w:r w:rsidRPr="00D019E9">
        <w:rPr>
          <w:rFonts w:asciiTheme="minorHAnsi" w:hAnsiTheme="minorHAnsi" w:cstheme="minorHAnsi"/>
          <w:i/>
          <w:sz w:val="20"/>
          <w:szCs w:val="20"/>
        </w:rPr>
        <w:t>Puchalu</w:t>
      </w:r>
      <w:proofErr w:type="spellEnd"/>
      <w:r w:rsidRPr="00D019E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D019E9">
        <w:rPr>
          <w:rFonts w:cs="Calibri"/>
          <w:i/>
          <w:sz w:val="20"/>
          <w:szCs w:val="20"/>
        </w:rPr>
        <w:t>TASR v súčasnosti pre podporu redakčných činností využíva zastarané technologické vybavenie, ktorého kľúčovou súčasťou sú systémy TYPLAN/MULTIWORKS (v prevádzke od roku 1992, naposledy funkčne upgradované v roku 2001</w:t>
      </w:r>
      <w:r w:rsidR="00AE1502">
        <w:rPr>
          <w:rFonts w:cs="Calibri"/>
          <w:i/>
          <w:sz w:val="20"/>
          <w:szCs w:val="20"/>
        </w:rPr>
        <w:t>)</w:t>
      </w:r>
      <w:r w:rsidRPr="00D019E9">
        <w:rPr>
          <w:rFonts w:asciiTheme="minorHAnsi" w:hAnsiTheme="minorHAnsi" w:cstheme="minorHAnsi"/>
          <w:i/>
          <w:sz w:val="20"/>
          <w:szCs w:val="20"/>
        </w:rPr>
        <w:t>.</w:t>
      </w:r>
    </w:p>
    <w:p w:rsidR="00CC7F10" w:rsidRPr="00D019E9" w:rsidRDefault="002644D1" w:rsidP="00CC7F10">
      <w:pPr>
        <w:pStyle w:val="Textbody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Štúdia realizovateľnosti</w:t>
      </w:r>
      <w:r w:rsidR="00CC7F10" w:rsidRPr="00D019E9">
        <w:rPr>
          <w:rFonts w:ascii="Calibri" w:hAnsi="Calibri" w:cs="Calibri"/>
          <w:i/>
          <w:sz w:val="20"/>
          <w:szCs w:val="20"/>
        </w:rPr>
        <w:t xml:space="preserve"> musí obsahovať všetky súčasti štúdie v súlade s metodikou pre projekty Operačného programu integrovaná infraštruktúra Prioritná os č. 7, vrátane časti </w:t>
      </w:r>
      <w:proofErr w:type="spellStart"/>
      <w:r w:rsidR="00CC7F10" w:rsidRPr="00D019E9">
        <w:rPr>
          <w:rFonts w:ascii="Calibri" w:hAnsi="Calibri" w:cs="Calibri"/>
          <w:i/>
          <w:sz w:val="20"/>
          <w:szCs w:val="20"/>
        </w:rPr>
        <w:t>Cost</w:t>
      </w:r>
      <w:proofErr w:type="spellEnd"/>
      <w:r w:rsidR="00CC7F10" w:rsidRPr="00D019E9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CC7F10" w:rsidRPr="00D019E9">
        <w:rPr>
          <w:rFonts w:ascii="Calibri" w:hAnsi="Calibri" w:cs="Calibri"/>
          <w:i/>
          <w:sz w:val="20"/>
          <w:szCs w:val="20"/>
        </w:rPr>
        <w:t>Benefit</w:t>
      </w:r>
      <w:proofErr w:type="spellEnd"/>
      <w:r w:rsidR="00CC7F10" w:rsidRPr="00D019E9">
        <w:rPr>
          <w:rFonts w:ascii="Calibri" w:hAnsi="Calibri" w:cs="Calibri"/>
          <w:i/>
          <w:sz w:val="20"/>
          <w:szCs w:val="20"/>
        </w:rPr>
        <w:t xml:space="preserve"> analýzy, Rozpočet projektu, prílohu opodstatnenosti podľa metodiky Hodnota za peniaze a iné požado</w:t>
      </w:r>
      <w:r>
        <w:rPr>
          <w:rFonts w:ascii="Calibri" w:hAnsi="Calibri" w:cs="Calibri"/>
          <w:i/>
          <w:sz w:val="20"/>
          <w:szCs w:val="20"/>
        </w:rPr>
        <w:t>vané prílohy</w:t>
      </w:r>
      <w:r w:rsidR="00CC7F10" w:rsidRPr="00D019E9">
        <w:rPr>
          <w:rFonts w:ascii="Calibri" w:hAnsi="Calibri" w:cs="Calibri"/>
          <w:i/>
          <w:sz w:val="20"/>
          <w:szCs w:val="20"/>
        </w:rPr>
        <w:t>.</w:t>
      </w:r>
    </w:p>
    <w:p w:rsidR="00CC7F10" w:rsidRDefault="002644D1" w:rsidP="00CC7F10">
      <w:pPr>
        <w:pStyle w:val="Textbody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Subjekt, ktorý vypracuje štúdiu,</w:t>
      </w:r>
      <w:r w:rsidR="00CC7F10" w:rsidRPr="00D019E9">
        <w:rPr>
          <w:rFonts w:ascii="Calibri" w:hAnsi="Calibri" w:cs="Calibri"/>
          <w:i/>
          <w:sz w:val="20"/>
          <w:szCs w:val="20"/>
        </w:rPr>
        <w:t xml:space="preserve"> je zároveň povinný pri súčinnosti </w:t>
      </w:r>
      <w:r>
        <w:rPr>
          <w:rFonts w:ascii="Calibri" w:hAnsi="Calibri" w:cs="Calibri"/>
          <w:i/>
          <w:sz w:val="20"/>
          <w:szCs w:val="20"/>
        </w:rPr>
        <w:t>TASR</w:t>
      </w:r>
      <w:r w:rsidR="00CC7F10" w:rsidRPr="00D019E9">
        <w:rPr>
          <w:rFonts w:ascii="Calibri" w:hAnsi="Calibri" w:cs="Calibri"/>
          <w:i/>
          <w:sz w:val="20"/>
          <w:szCs w:val="20"/>
        </w:rPr>
        <w:t xml:space="preserve"> nahrať príslušné časti štúdie do systému </w:t>
      </w:r>
      <w:proofErr w:type="spellStart"/>
      <w:r w:rsidR="00CC7F10" w:rsidRPr="00D019E9">
        <w:rPr>
          <w:rFonts w:ascii="Calibri" w:hAnsi="Calibri" w:cs="Calibri"/>
          <w:i/>
          <w:sz w:val="20"/>
          <w:szCs w:val="20"/>
        </w:rPr>
        <w:t>MetaIS</w:t>
      </w:r>
      <w:proofErr w:type="spellEnd"/>
      <w:r w:rsidR="00CC7F10" w:rsidRPr="00D019E9">
        <w:rPr>
          <w:rFonts w:ascii="Calibri" w:hAnsi="Calibri" w:cs="Calibri"/>
          <w:i/>
          <w:sz w:val="20"/>
          <w:szCs w:val="20"/>
        </w:rPr>
        <w:t xml:space="preserve">. </w:t>
      </w:r>
    </w:p>
    <w:p w:rsidR="002644D1" w:rsidRDefault="002644D1" w:rsidP="0031426D">
      <w:pPr>
        <w:pStyle w:val="Textbody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1426D" w:rsidRDefault="0031426D" w:rsidP="0031426D">
      <w:pPr>
        <w:pStyle w:val="Textbody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Očakávaným výstupom štúdie realizovateľnosti je dokument obsahujúci minimálne:</w:t>
      </w:r>
    </w:p>
    <w:p w:rsidR="002644D1" w:rsidRPr="0031426D" w:rsidRDefault="002644D1" w:rsidP="0031426D">
      <w:pPr>
        <w:pStyle w:val="Textbody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1426D" w:rsidRPr="0031426D" w:rsidRDefault="0031426D" w:rsidP="0031426D">
      <w:pPr>
        <w:pStyle w:val="Textbody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Analýzu súčasného stavu prostredia informačných technológií TASR, najmä:</w:t>
      </w:r>
    </w:p>
    <w:p w:rsidR="0031426D" w:rsidRPr="0031426D" w:rsidRDefault="0031426D" w:rsidP="0031426D">
      <w:pPr>
        <w:pStyle w:val="Textbody"/>
        <w:numPr>
          <w:ilvl w:val="1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lastRenderedPageBreak/>
        <w:t>identifikácia súčasne využívaných technologických komponentov využívaných pre podporu redakčných činností TASR;</w:t>
      </w:r>
    </w:p>
    <w:p w:rsidR="0031426D" w:rsidRPr="0031426D" w:rsidRDefault="0031426D" w:rsidP="0031426D">
      <w:pPr>
        <w:pStyle w:val="Textbody"/>
        <w:numPr>
          <w:ilvl w:val="1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zmapovanie existujúcich funkčných vlastností, ktoré sú poskytované súčasne využívanými technologickými komponentami využívanými pre podporu redakčných činností TASR;</w:t>
      </w:r>
    </w:p>
    <w:p w:rsidR="0031426D" w:rsidRPr="0031426D" w:rsidRDefault="0031426D" w:rsidP="0031426D">
      <w:pPr>
        <w:pStyle w:val="Textbody"/>
        <w:numPr>
          <w:ilvl w:val="1"/>
          <w:numId w:val="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zmapovanie architektúry súčasného riešenia s dôrazom na presnú identifikáciu v súčasnosti využívaného dátového modelu a procesných vzťahov spojených s udržiavaním dátového modelu a správou jednotlivých položiek databáz využívajúcich predmetný dátový model;</w:t>
      </w:r>
    </w:p>
    <w:p w:rsidR="0031426D" w:rsidRDefault="0031426D" w:rsidP="0031426D">
      <w:pPr>
        <w:pStyle w:val="Textbody"/>
        <w:numPr>
          <w:ilvl w:val="1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identifikáciu v súčasnosti platných externých vzťahov (a do nich zapojených procesov) majúcich vplyv na využívanie a aktualizáciu spravovaných TASR v súčasnosti platnom dátovom modeli.</w:t>
      </w:r>
    </w:p>
    <w:p w:rsidR="002644D1" w:rsidRPr="0031426D" w:rsidRDefault="002644D1" w:rsidP="002644D1">
      <w:pPr>
        <w:pStyle w:val="Textbody"/>
        <w:ind w:left="108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31426D" w:rsidRPr="0031426D" w:rsidRDefault="0031426D" w:rsidP="0031426D">
      <w:pPr>
        <w:pStyle w:val="Textbody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Harmonizáciu očakávaných funkčných vlastností a nefunkčných požiadaviek na RSNG TASR, najmä:</w:t>
      </w:r>
    </w:p>
    <w:p w:rsidR="0031426D" w:rsidRPr="0031426D" w:rsidRDefault="0031426D" w:rsidP="0031426D">
      <w:pPr>
        <w:pStyle w:val="Textbody"/>
        <w:numPr>
          <w:ilvl w:val="1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vypracovanie zoznamu vyžadovaných funkčných vlastností a nefunkčných požiadaviek, ktoré má spĺňať RSNG TASR;</w:t>
      </w:r>
    </w:p>
    <w:p w:rsidR="0031426D" w:rsidRPr="0031426D" w:rsidRDefault="0031426D" w:rsidP="0031426D">
      <w:pPr>
        <w:pStyle w:val="Textbody"/>
        <w:numPr>
          <w:ilvl w:val="1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vypracovanie návrhu dátového modelu RSNG TASR;</w:t>
      </w:r>
    </w:p>
    <w:p w:rsidR="0031426D" w:rsidRPr="0031426D" w:rsidRDefault="0031426D" w:rsidP="0031426D">
      <w:pPr>
        <w:pStyle w:val="Textbody"/>
        <w:numPr>
          <w:ilvl w:val="1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vypracovanie mapovania medzi stávajúcim dátovým modelom informačných technológií TASR a navrhovaným dátovým modelom RSNG TASR;</w:t>
      </w:r>
    </w:p>
    <w:p w:rsidR="0031426D" w:rsidRPr="0031426D" w:rsidRDefault="0031426D" w:rsidP="0031426D">
      <w:pPr>
        <w:pStyle w:val="Textbody"/>
        <w:numPr>
          <w:ilvl w:val="1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vypracovanie návrhu procesov migrácie dát medzi súčasnou údajovou bázou TASR a údajovou bázou RSNG TASR;</w:t>
      </w:r>
    </w:p>
    <w:p w:rsidR="0031426D" w:rsidRPr="0031426D" w:rsidRDefault="0031426D" w:rsidP="0031426D">
      <w:pPr>
        <w:pStyle w:val="Textbody"/>
        <w:numPr>
          <w:ilvl w:val="1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identifikácia rizík a obmedzení súvisiacich s migráciou dát;</w:t>
      </w:r>
    </w:p>
    <w:p w:rsidR="0031426D" w:rsidRDefault="0031426D" w:rsidP="0031426D">
      <w:pPr>
        <w:pStyle w:val="Textbody"/>
        <w:numPr>
          <w:ilvl w:val="1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vypracovanie návrhu architektonického m</w:t>
      </w:r>
      <w:r w:rsidR="002644D1">
        <w:rPr>
          <w:rFonts w:asciiTheme="minorHAnsi" w:hAnsiTheme="minorHAnsi" w:cstheme="minorHAnsi"/>
          <w:i/>
          <w:sz w:val="20"/>
          <w:szCs w:val="20"/>
        </w:rPr>
        <w:t xml:space="preserve">odelu IKIS (v jazyku </w:t>
      </w:r>
      <w:proofErr w:type="spellStart"/>
      <w:r w:rsidR="002644D1">
        <w:rPr>
          <w:rFonts w:asciiTheme="minorHAnsi" w:hAnsiTheme="minorHAnsi" w:cstheme="minorHAnsi"/>
          <w:i/>
          <w:sz w:val="20"/>
          <w:szCs w:val="20"/>
        </w:rPr>
        <w:t>Archimate</w:t>
      </w:r>
      <w:proofErr w:type="spellEnd"/>
      <w:r w:rsidR="002644D1">
        <w:rPr>
          <w:rFonts w:asciiTheme="minorHAnsi" w:hAnsiTheme="minorHAnsi" w:cstheme="minorHAnsi"/>
          <w:i/>
          <w:sz w:val="20"/>
          <w:szCs w:val="20"/>
        </w:rPr>
        <w:t>).</w:t>
      </w:r>
    </w:p>
    <w:p w:rsidR="002644D1" w:rsidRPr="0031426D" w:rsidRDefault="002644D1" w:rsidP="002644D1">
      <w:pPr>
        <w:pStyle w:val="Textbody"/>
        <w:ind w:left="1080"/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31426D" w:rsidRPr="0031426D" w:rsidRDefault="0031426D" w:rsidP="0031426D">
      <w:pPr>
        <w:pStyle w:val="Textbody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Vypracovanie alternatívnych návrhov možných technických riešení zabezpečenia očakávaných funkčných vlastností a nefunkčných požiadaviek na RSNG TASR, najmä:</w:t>
      </w:r>
    </w:p>
    <w:p w:rsidR="0031426D" w:rsidRPr="0031426D" w:rsidRDefault="0031426D" w:rsidP="0031426D">
      <w:pPr>
        <w:pStyle w:val="Textbody"/>
        <w:numPr>
          <w:ilvl w:val="1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vypracovanie minimálne 3 alternatív možných technických riešení v súlade s princípmi stanovenými v platnej Národnej koncepcii rozvoja informačných systémov verejnej správy;</w:t>
      </w:r>
    </w:p>
    <w:p w:rsidR="0031426D" w:rsidRPr="0031426D" w:rsidRDefault="0031426D" w:rsidP="0031426D">
      <w:pPr>
        <w:pStyle w:val="Textbody"/>
        <w:numPr>
          <w:ilvl w:val="1"/>
          <w:numId w:val="5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návrh preferovaných modelov autorsko-právnych vzťahov v súlade s princípmi stanovenými v platnej Národnej koncepcii rozvoja informačných systémov verejnej správy;</w:t>
      </w:r>
    </w:p>
    <w:p w:rsidR="0031426D" w:rsidRPr="0031426D" w:rsidRDefault="0031426D" w:rsidP="0031426D">
      <w:pPr>
        <w:pStyle w:val="Textbody"/>
        <w:numPr>
          <w:ilvl w:val="1"/>
          <w:numId w:val="6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schematický návrh možného zapojenia infraštruktúry a konfigurácie komponentov navrhovanej alternatívy možného technického riešenia v súlade s princípmi stanovenými v platnej Národnej koncepcii rozvoja informačných systémov verejnej správy;</w:t>
      </w:r>
    </w:p>
    <w:p w:rsidR="0031426D" w:rsidRPr="0031426D" w:rsidRDefault="0031426D" w:rsidP="0031426D">
      <w:pPr>
        <w:pStyle w:val="Textbody"/>
        <w:numPr>
          <w:ilvl w:val="1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zhodnotenie navrhovanej alternatívy možného technického riešenia (napríklad formou SWOT analýzy založenej na merateľných technicko-prevádzkových ukazovateľoch);</w:t>
      </w:r>
    </w:p>
    <w:p w:rsidR="0031426D" w:rsidRPr="0031426D" w:rsidRDefault="0031426D" w:rsidP="0031426D">
      <w:pPr>
        <w:pStyle w:val="Textbody"/>
        <w:numPr>
          <w:ilvl w:val="1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vypracovanie odhadu finančnej náročnosti vytvorenia, prevádzky a údržby navrhovanej alternatívy možného technického riešenia (vo forme TCO modelu pokrývajúceho celý životný cyklus IKIS);</w:t>
      </w:r>
    </w:p>
    <w:p w:rsidR="0031426D" w:rsidRPr="0031426D" w:rsidRDefault="0031426D" w:rsidP="0031426D">
      <w:pPr>
        <w:pStyle w:val="Textbody"/>
        <w:numPr>
          <w:ilvl w:val="1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vypracovanie odhadu časovej náročnosti vytvorenia, testovania a uvedenia do prevádzky navrhovanej alternatívy možného technického riešenia;</w:t>
      </w:r>
    </w:p>
    <w:p w:rsidR="0031426D" w:rsidRPr="0031426D" w:rsidRDefault="0031426D" w:rsidP="0031426D">
      <w:pPr>
        <w:pStyle w:val="Textbody"/>
        <w:numPr>
          <w:ilvl w:val="1"/>
          <w:numId w:val="4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31426D">
        <w:rPr>
          <w:rFonts w:asciiTheme="minorHAnsi" w:hAnsiTheme="minorHAnsi" w:cstheme="minorHAnsi"/>
          <w:i/>
          <w:sz w:val="20"/>
          <w:szCs w:val="20"/>
        </w:rPr>
        <w:t>vypracovanie návrhu migračného scenára dátovej základe súčasného informačného prostredia TASR do prostredia navrhovanej alternatívy možného technického riešenia RSNG TASR.</w:t>
      </w:r>
    </w:p>
    <w:p w:rsidR="002644D1" w:rsidRDefault="00D019E9" w:rsidP="002644D1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Správna rada TASR vzala </w:t>
      </w:r>
      <w:r w:rsidR="002644D1">
        <w:rPr>
          <w:rFonts w:asciiTheme="minorHAnsi" w:hAnsiTheme="minorHAnsi" w:cstheme="minorHAnsi"/>
          <w:sz w:val="20"/>
          <w:szCs w:val="20"/>
        </w:rPr>
        <w:t xml:space="preserve">informáciu o príprave Štúdie realizovateľnosti pre redakčný systém novej generácie TASR na vedomie. </w:t>
      </w:r>
    </w:p>
    <w:p w:rsidR="00D019E9" w:rsidRDefault="00D019E9" w:rsidP="002644D1">
      <w:pPr>
        <w:tabs>
          <w:tab w:val="left" w:pos="567"/>
        </w:tabs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182FE2" w:rsidRDefault="00182FE2" w:rsidP="002644D1">
      <w:pPr>
        <w:tabs>
          <w:tab w:val="left" w:pos="567"/>
        </w:tabs>
        <w:rPr>
          <w:rFonts w:asciiTheme="minorHAnsi" w:hAnsiTheme="minorHAnsi"/>
          <w:b/>
          <w:sz w:val="20"/>
          <w:szCs w:val="20"/>
        </w:rPr>
      </w:pPr>
    </w:p>
    <w:p w:rsidR="00182FE2" w:rsidRPr="002644D1" w:rsidRDefault="00182FE2" w:rsidP="002644D1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:rsidR="00D019E9" w:rsidRDefault="00D019E9" w:rsidP="00D019E9">
      <w:pPr>
        <w:tabs>
          <w:tab w:val="left" w:pos="567"/>
        </w:tabs>
        <w:rPr>
          <w:rFonts w:asciiTheme="minorHAnsi" w:hAnsiTheme="minorHAnsi" w:cstheme="minorHAnsi"/>
          <w:b/>
          <w:sz w:val="20"/>
          <w:szCs w:val="20"/>
        </w:rPr>
      </w:pPr>
      <w:r w:rsidRPr="00CC7F10">
        <w:rPr>
          <w:rFonts w:asciiTheme="minorHAnsi" w:hAnsiTheme="minorHAnsi" w:cstheme="minorHAnsi"/>
          <w:b/>
          <w:sz w:val="20"/>
          <w:szCs w:val="20"/>
        </w:rPr>
        <w:lastRenderedPageBreak/>
        <w:t>2. Rôzne</w:t>
      </w:r>
    </w:p>
    <w:p w:rsidR="00D019E9" w:rsidRDefault="00D019E9" w:rsidP="00D019E9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Členovia SR TASR sa dohodli </w:t>
      </w:r>
      <w:r>
        <w:rPr>
          <w:sz w:val="20"/>
          <w:szCs w:val="20"/>
        </w:rPr>
        <w:t>na termíne ďalšieho zasadnutia 27. augusta 2019 o 15:00</w:t>
      </w:r>
      <w:r w:rsidRPr="00555C4C">
        <w:rPr>
          <w:sz w:val="20"/>
          <w:szCs w:val="20"/>
        </w:rPr>
        <w:t>.</w:t>
      </w:r>
    </w:p>
    <w:p w:rsidR="00D019E9" w:rsidRPr="00555C4C" w:rsidRDefault="00D019E9" w:rsidP="00D019E9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555C4C">
        <w:rPr>
          <w:sz w:val="20"/>
          <w:szCs w:val="20"/>
        </w:rPr>
        <w:t xml:space="preserve">redseda SR TASR </w:t>
      </w:r>
      <w:r>
        <w:rPr>
          <w:sz w:val="20"/>
          <w:szCs w:val="20"/>
        </w:rPr>
        <w:t xml:space="preserve">J. </w:t>
      </w:r>
      <w:proofErr w:type="spellStart"/>
      <w:r>
        <w:rPr>
          <w:sz w:val="20"/>
          <w:szCs w:val="20"/>
        </w:rPr>
        <w:t>Tuhovčák</w:t>
      </w:r>
      <w:proofErr w:type="spellEnd"/>
      <w:r w:rsidRPr="00555C4C">
        <w:rPr>
          <w:sz w:val="20"/>
          <w:szCs w:val="20"/>
        </w:rPr>
        <w:t xml:space="preserve"> v súlade s Rokovacím poriadkom SR TASR ukončil zasadnutie rady.</w:t>
      </w:r>
    </w:p>
    <w:p w:rsidR="00D019E9" w:rsidRPr="00555C4C" w:rsidRDefault="00D019E9" w:rsidP="00D019E9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Bratislava, </w:t>
      </w:r>
      <w:r>
        <w:rPr>
          <w:sz w:val="20"/>
          <w:szCs w:val="20"/>
        </w:rPr>
        <w:t>2. júla 2019</w:t>
      </w:r>
    </w:p>
    <w:p w:rsidR="00D019E9" w:rsidRDefault="00D019E9" w:rsidP="00D019E9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Zapísal: </w:t>
      </w:r>
    </w:p>
    <w:p w:rsidR="00D019E9" w:rsidRDefault="00D019E9" w:rsidP="00D019E9">
      <w:pPr>
        <w:rPr>
          <w:sz w:val="20"/>
          <w:szCs w:val="20"/>
        </w:rPr>
      </w:pPr>
    </w:p>
    <w:p w:rsidR="00D019E9" w:rsidRPr="00555C4C" w:rsidRDefault="00D019E9" w:rsidP="00D019E9">
      <w:pPr>
        <w:rPr>
          <w:sz w:val="20"/>
          <w:szCs w:val="20"/>
        </w:rPr>
      </w:pPr>
    </w:p>
    <w:p w:rsidR="00D019E9" w:rsidRPr="00555C4C" w:rsidRDefault="00D019E9" w:rsidP="00D019E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019E9" w:rsidRPr="00555C4C" w:rsidRDefault="00D019E9" w:rsidP="00D019E9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Jozef </w:t>
      </w:r>
      <w:proofErr w:type="spellStart"/>
      <w:r>
        <w:rPr>
          <w:sz w:val="20"/>
          <w:szCs w:val="20"/>
        </w:rPr>
        <w:t>Tuhovčák</w:t>
      </w:r>
      <w:proofErr w:type="spellEnd"/>
      <w:r>
        <w:rPr>
          <w:sz w:val="20"/>
          <w:szCs w:val="20"/>
        </w:rPr>
        <w:t xml:space="preserve"> </w:t>
      </w:r>
      <w:r w:rsidRPr="00555C4C">
        <w:rPr>
          <w:sz w:val="20"/>
          <w:szCs w:val="20"/>
        </w:rPr>
        <w:t xml:space="preserve"> </w:t>
      </w:r>
      <w:proofErr w:type="spellStart"/>
      <w:r w:rsidRPr="00555C4C">
        <w:rPr>
          <w:sz w:val="20"/>
          <w:szCs w:val="20"/>
        </w:rPr>
        <w:t>v.r</w:t>
      </w:r>
      <w:proofErr w:type="spellEnd"/>
      <w:r w:rsidRPr="00555C4C">
        <w:rPr>
          <w:sz w:val="20"/>
          <w:szCs w:val="20"/>
        </w:rPr>
        <w:t>.</w:t>
      </w:r>
    </w:p>
    <w:p w:rsidR="00D019E9" w:rsidRPr="003E2245" w:rsidRDefault="00D019E9" w:rsidP="00D019E9">
      <w:pPr>
        <w:rPr>
          <w:rFonts w:asciiTheme="minorHAnsi" w:hAnsiTheme="minorHAnsi"/>
          <w:b/>
          <w:sz w:val="20"/>
          <w:szCs w:val="20"/>
        </w:rPr>
      </w:pPr>
    </w:p>
    <w:p w:rsidR="00D019E9" w:rsidRPr="007252EB" w:rsidRDefault="00D019E9" w:rsidP="00D019E9">
      <w:pPr>
        <w:tabs>
          <w:tab w:val="left" w:pos="6330"/>
        </w:tabs>
        <w:rPr>
          <w:rFonts w:asciiTheme="minorHAnsi" w:hAnsiTheme="minorHAnsi"/>
          <w:sz w:val="20"/>
          <w:szCs w:val="20"/>
        </w:rPr>
      </w:pPr>
    </w:p>
    <w:p w:rsidR="00D019E9" w:rsidRDefault="00D019E9" w:rsidP="00D019E9">
      <w:pPr>
        <w:spacing w:after="0" w:line="240" w:lineRule="auto"/>
        <w:ind w:left="720" w:hanging="360"/>
        <w:rPr>
          <w:rFonts w:cs="Calibri"/>
          <w:sz w:val="20"/>
          <w:szCs w:val="20"/>
        </w:rPr>
      </w:pPr>
    </w:p>
    <w:p w:rsidR="00D019E9" w:rsidRDefault="00D019E9" w:rsidP="00CC7F10">
      <w:pPr>
        <w:pStyle w:val="Textbody"/>
        <w:jc w:val="both"/>
        <w:rPr>
          <w:rFonts w:asciiTheme="minorHAnsi" w:hAnsiTheme="minorHAnsi" w:cstheme="minorHAnsi"/>
          <w:sz w:val="20"/>
          <w:szCs w:val="20"/>
        </w:rPr>
      </w:pPr>
    </w:p>
    <w:p w:rsidR="00D019E9" w:rsidRPr="00CC7F10" w:rsidRDefault="00D019E9" w:rsidP="00CC7F10">
      <w:pPr>
        <w:pStyle w:val="Textbody"/>
        <w:jc w:val="both"/>
        <w:rPr>
          <w:rFonts w:ascii="Calibri" w:hAnsi="Calibri" w:cs="Calibri"/>
          <w:sz w:val="20"/>
          <w:szCs w:val="20"/>
        </w:rPr>
      </w:pPr>
    </w:p>
    <w:p w:rsidR="00CC7F10" w:rsidRDefault="00CC7F10" w:rsidP="00CC7F10">
      <w:pPr>
        <w:tabs>
          <w:tab w:val="left" w:pos="567"/>
        </w:tabs>
        <w:rPr>
          <w:rFonts w:ascii="Arial" w:hAnsi="Arial"/>
          <w:b/>
          <w:szCs w:val="24"/>
        </w:rPr>
      </w:pPr>
    </w:p>
    <w:p w:rsidR="00CC7F10" w:rsidRDefault="00CC7F10" w:rsidP="00CC7F10">
      <w:pPr>
        <w:rPr>
          <w:rFonts w:asciiTheme="minorHAnsi" w:hAnsiTheme="minorHAnsi"/>
          <w:b/>
          <w:sz w:val="20"/>
          <w:szCs w:val="20"/>
        </w:rPr>
      </w:pPr>
    </w:p>
    <w:p w:rsidR="00D06993" w:rsidRDefault="00D06993"/>
    <w:sectPr w:rsidR="00D06993" w:rsidSect="00D0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2C62"/>
    <w:multiLevelType w:val="multilevel"/>
    <w:tmpl w:val="BE8211D2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179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6611" w:hanging="504"/>
      </w:pPr>
    </w:lvl>
    <w:lvl w:ilvl="3">
      <w:start w:val="1"/>
      <w:numFmt w:val="decimal"/>
      <w:lvlText w:val="%1.%2.%3.%4."/>
      <w:lvlJc w:val="left"/>
      <w:pPr>
        <w:ind w:left="7115" w:hanging="648"/>
      </w:pPr>
    </w:lvl>
    <w:lvl w:ilvl="4">
      <w:start w:val="1"/>
      <w:numFmt w:val="decimal"/>
      <w:lvlText w:val="%1.%2.%3.%4.%5."/>
      <w:lvlJc w:val="left"/>
      <w:pPr>
        <w:ind w:left="7619" w:hanging="792"/>
      </w:pPr>
    </w:lvl>
    <w:lvl w:ilvl="5">
      <w:start w:val="1"/>
      <w:numFmt w:val="decimal"/>
      <w:lvlText w:val="%1.%2.%3.%4.%5.%6."/>
      <w:lvlJc w:val="left"/>
      <w:pPr>
        <w:ind w:left="8123" w:hanging="936"/>
      </w:pPr>
    </w:lvl>
    <w:lvl w:ilvl="6">
      <w:start w:val="1"/>
      <w:numFmt w:val="decimal"/>
      <w:lvlText w:val="%1.%2.%3.%4.%5.%6.%7."/>
      <w:lvlJc w:val="left"/>
      <w:pPr>
        <w:ind w:left="8627" w:hanging="1080"/>
      </w:pPr>
    </w:lvl>
    <w:lvl w:ilvl="7">
      <w:start w:val="1"/>
      <w:numFmt w:val="decimal"/>
      <w:lvlText w:val="%1.%2.%3.%4.%5.%6.%7.%8."/>
      <w:lvlJc w:val="left"/>
      <w:pPr>
        <w:ind w:left="9131" w:hanging="1224"/>
      </w:pPr>
    </w:lvl>
    <w:lvl w:ilvl="8">
      <w:start w:val="1"/>
      <w:numFmt w:val="decimal"/>
      <w:lvlText w:val="%1.%2.%3.%4.%5.%6.%7.%8.%9."/>
      <w:lvlJc w:val="left"/>
      <w:pPr>
        <w:ind w:left="9707" w:hanging="1440"/>
      </w:pPr>
    </w:lvl>
  </w:abstractNum>
  <w:abstractNum w:abstractNumId="1">
    <w:nsid w:val="3C0E1295"/>
    <w:multiLevelType w:val="multilevel"/>
    <w:tmpl w:val="42DC5074"/>
    <w:lvl w:ilvl="0">
      <w:start w:val="1"/>
      <w:numFmt w:val="upperLetter"/>
      <w:lvlText w:val="%1)"/>
      <w:lvlJc w:val="left"/>
      <w:pPr>
        <w:ind w:left="720" w:hanging="360"/>
      </w:pPr>
      <w:rPr>
        <w:rFonts w:ascii="Source Sans Pro" w:hAnsi="Source Sans Pro"/>
        <w:sz w:val="21"/>
        <w:szCs w:val="21"/>
      </w:rPr>
    </w:lvl>
    <w:lvl w:ilvl="1">
      <w:numFmt w:val="bullet"/>
      <w:lvlText w:val="–"/>
      <w:lvlJc w:val="left"/>
      <w:pPr>
        <w:ind w:left="1080" w:hanging="360"/>
      </w:pPr>
      <w:rPr>
        <w:rFonts w:ascii="Source Sans Pro" w:hAnsi="Source Sans Pro"/>
      </w:rPr>
    </w:lvl>
    <w:lvl w:ilvl="2">
      <w:numFmt w:val="bullet"/>
      <w:lvlText w:val="–"/>
      <w:lvlJc w:val="left"/>
      <w:pPr>
        <w:ind w:left="1440" w:hanging="360"/>
      </w:pPr>
      <w:rPr>
        <w:rFonts w:ascii="Source Sans Pro" w:hAnsi="Source Sans Pro"/>
      </w:rPr>
    </w:lvl>
    <w:lvl w:ilvl="3">
      <w:numFmt w:val="bullet"/>
      <w:lvlText w:val="–"/>
      <w:lvlJc w:val="left"/>
      <w:pPr>
        <w:ind w:left="1800" w:hanging="360"/>
      </w:pPr>
      <w:rPr>
        <w:rFonts w:ascii="Source Sans Pro" w:hAnsi="Source Sans Pro"/>
      </w:rPr>
    </w:lvl>
    <w:lvl w:ilvl="4">
      <w:numFmt w:val="bullet"/>
      <w:lvlText w:val="–"/>
      <w:lvlJc w:val="left"/>
      <w:pPr>
        <w:ind w:left="2160" w:hanging="360"/>
      </w:pPr>
      <w:rPr>
        <w:rFonts w:ascii="Source Sans Pro" w:hAnsi="Source Sans Pro"/>
      </w:rPr>
    </w:lvl>
    <w:lvl w:ilvl="5">
      <w:numFmt w:val="bullet"/>
      <w:lvlText w:val="–"/>
      <w:lvlJc w:val="left"/>
      <w:pPr>
        <w:ind w:left="2520" w:hanging="360"/>
      </w:pPr>
      <w:rPr>
        <w:rFonts w:ascii="Source Sans Pro" w:hAnsi="Source Sans Pro"/>
      </w:rPr>
    </w:lvl>
    <w:lvl w:ilvl="6">
      <w:numFmt w:val="bullet"/>
      <w:lvlText w:val="–"/>
      <w:lvlJc w:val="left"/>
      <w:pPr>
        <w:ind w:left="2880" w:hanging="360"/>
      </w:pPr>
      <w:rPr>
        <w:rFonts w:ascii="Source Sans Pro" w:hAnsi="Source Sans Pro"/>
      </w:rPr>
    </w:lvl>
    <w:lvl w:ilvl="7">
      <w:numFmt w:val="bullet"/>
      <w:lvlText w:val="–"/>
      <w:lvlJc w:val="left"/>
      <w:pPr>
        <w:ind w:left="3240" w:hanging="360"/>
      </w:pPr>
      <w:rPr>
        <w:rFonts w:ascii="Source Sans Pro" w:hAnsi="Source Sans Pro"/>
      </w:rPr>
    </w:lvl>
    <w:lvl w:ilvl="8">
      <w:numFmt w:val="bullet"/>
      <w:lvlText w:val="–"/>
      <w:lvlJc w:val="left"/>
      <w:pPr>
        <w:ind w:left="3600" w:hanging="360"/>
      </w:pPr>
      <w:rPr>
        <w:rFonts w:ascii="Source Sans Pro" w:hAnsi="Source Sans Pro"/>
      </w:rPr>
    </w:lvl>
  </w:abstractNum>
  <w:abstractNum w:abstractNumId="2">
    <w:nsid w:val="655F4BF7"/>
    <w:multiLevelType w:val="multilevel"/>
    <w:tmpl w:val="FC781BF2"/>
    <w:lvl w:ilvl="0">
      <w:start w:val="1"/>
      <w:numFmt w:val="upperLetter"/>
      <w:lvlText w:val="%1)"/>
      <w:lvlJc w:val="left"/>
      <w:pPr>
        <w:ind w:left="720" w:hanging="360"/>
      </w:pPr>
      <w:rPr>
        <w:rFonts w:ascii="Source Sans Pro" w:hAnsi="Source Sans Pro"/>
        <w:sz w:val="21"/>
        <w:szCs w:val="21"/>
      </w:rPr>
    </w:lvl>
    <w:lvl w:ilvl="1">
      <w:numFmt w:val="bullet"/>
      <w:lvlText w:val="–"/>
      <w:lvlJc w:val="left"/>
      <w:pPr>
        <w:ind w:left="1080" w:hanging="360"/>
      </w:pPr>
      <w:rPr>
        <w:rFonts w:ascii="Source Sans Pro" w:hAnsi="Source Sans Pro"/>
      </w:rPr>
    </w:lvl>
    <w:lvl w:ilvl="2">
      <w:numFmt w:val="bullet"/>
      <w:lvlText w:val="–"/>
      <w:lvlJc w:val="left"/>
      <w:pPr>
        <w:ind w:left="1440" w:hanging="360"/>
      </w:pPr>
      <w:rPr>
        <w:rFonts w:ascii="Source Sans Pro" w:hAnsi="Source Sans Pro"/>
      </w:rPr>
    </w:lvl>
    <w:lvl w:ilvl="3">
      <w:numFmt w:val="bullet"/>
      <w:lvlText w:val="–"/>
      <w:lvlJc w:val="left"/>
      <w:pPr>
        <w:ind w:left="1800" w:hanging="360"/>
      </w:pPr>
      <w:rPr>
        <w:rFonts w:ascii="Source Sans Pro" w:hAnsi="Source Sans Pro"/>
      </w:rPr>
    </w:lvl>
    <w:lvl w:ilvl="4">
      <w:numFmt w:val="bullet"/>
      <w:lvlText w:val="–"/>
      <w:lvlJc w:val="left"/>
      <w:pPr>
        <w:ind w:left="2160" w:hanging="360"/>
      </w:pPr>
      <w:rPr>
        <w:rFonts w:ascii="Source Sans Pro" w:hAnsi="Source Sans Pro"/>
      </w:rPr>
    </w:lvl>
    <w:lvl w:ilvl="5">
      <w:numFmt w:val="bullet"/>
      <w:lvlText w:val="–"/>
      <w:lvlJc w:val="left"/>
      <w:pPr>
        <w:ind w:left="2520" w:hanging="360"/>
      </w:pPr>
      <w:rPr>
        <w:rFonts w:ascii="Source Sans Pro" w:hAnsi="Source Sans Pro"/>
      </w:rPr>
    </w:lvl>
    <w:lvl w:ilvl="6">
      <w:numFmt w:val="bullet"/>
      <w:lvlText w:val="–"/>
      <w:lvlJc w:val="left"/>
      <w:pPr>
        <w:ind w:left="2880" w:hanging="360"/>
      </w:pPr>
      <w:rPr>
        <w:rFonts w:ascii="Source Sans Pro" w:hAnsi="Source Sans Pro"/>
      </w:rPr>
    </w:lvl>
    <w:lvl w:ilvl="7">
      <w:numFmt w:val="bullet"/>
      <w:lvlText w:val="–"/>
      <w:lvlJc w:val="left"/>
      <w:pPr>
        <w:ind w:left="3240" w:hanging="360"/>
      </w:pPr>
      <w:rPr>
        <w:rFonts w:ascii="Source Sans Pro" w:hAnsi="Source Sans Pro"/>
      </w:rPr>
    </w:lvl>
    <w:lvl w:ilvl="8">
      <w:numFmt w:val="bullet"/>
      <w:lvlText w:val="–"/>
      <w:lvlJc w:val="left"/>
      <w:pPr>
        <w:ind w:left="3600" w:hanging="360"/>
      </w:pPr>
      <w:rPr>
        <w:rFonts w:ascii="Source Sans Pro" w:hAnsi="Source Sans Pro"/>
      </w:rPr>
    </w:lvl>
  </w:abstractNum>
  <w:abstractNum w:abstractNumId="3">
    <w:nsid w:val="66E3615C"/>
    <w:multiLevelType w:val="multilevel"/>
    <w:tmpl w:val="8870BE38"/>
    <w:lvl w:ilvl="0">
      <w:start w:val="1"/>
      <w:numFmt w:val="upperLetter"/>
      <w:lvlText w:val="%1)"/>
      <w:lvlJc w:val="left"/>
      <w:pPr>
        <w:ind w:left="720" w:hanging="360"/>
      </w:pPr>
      <w:rPr>
        <w:rFonts w:ascii="Source Sans Pro" w:hAnsi="Source Sans Pro"/>
        <w:sz w:val="21"/>
        <w:szCs w:val="21"/>
      </w:rPr>
    </w:lvl>
    <w:lvl w:ilvl="1">
      <w:numFmt w:val="bullet"/>
      <w:lvlText w:val="–"/>
      <w:lvlJc w:val="left"/>
      <w:pPr>
        <w:ind w:left="1080" w:hanging="360"/>
      </w:pPr>
      <w:rPr>
        <w:rFonts w:ascii="Source Sans Pro" w:hAnsi="Source Sans Pro"/>
      </w:rPr>
    </w:lvl>
    <w:lvl w:ilvl="2">
      <w:numFmt w:val="bullet"/>
      <w:lvlText w:val="–"/>
      <w:lvlJc w:val="left"/>
      <w:pPr>
        <w:ind w:left="1440" w:hanging="360"/>
      </w:pPr>
      <w:rPr>
        <w:rFonts w:ascii="Source Sans Pro" w:hAnsi="Source Sans Pro"/>
      </w:rPr>
    </w:lvl>
    <w:lvl w:ilvl="3">
      <w:numFmt w:val="bullet"/>
      <w:lvlText w:val="–"/>
      <w:lvlJc w:val="left"/>
      <w:pPr>
        <w:ind w:left="1800" w:hanging="360"/>
      </w:pPr>
      <w:rPr>
        <w:rFonts w:ascii="Source Sans Pro" w:hAnsi="Source Sans Pro"/>
      </w:rPr>
    </w:lvl>
    <w:lvl w:ilvl="4">
      <w:numFmt w:val="bullet"/>
      <w:lvlText w:val="–"/>
      <w:lvlJc w:val="left"/>
      <w:pPr>
        <w:ind w:left="2160" w:hanging="360"/>
      </w:pPr>
      <w:rPr>
        <w:rFonts w:ascii="Source Sans Pro" w:hAnsi="Source Sans Pro"/>
      </w:rPr>
    </w:lvl>
    <w:lvl w:ilvl="5">
      <w:numFmt w:val="bullet"/>
      <w:lvlText w:val="–"/>
      <w:lvlJc w:val="left"/>
      <w:pPr>
        <w:ind w:left="2520" w:hanging="360"/>
      </w:pPr>
      <w:rPr>
        <w:rFonts w:ascii="Source Sans Pro" w:hAnsi="Source Sans Pro"/>
      </w:rPr>
    </w:lvl>
    <w:lvl w:ilvl="6">
      <w:numFmt w:val="bullet"/>
      <w:lvlText w:val="–"/>
      <w:lvlJc w:val="left"/>
      <w:pPr>
        <w:ind w:left="2880" w:hanging="360"/>
      </w:pPr>
      <w:rPr>
        <w:rFonts w:ascii="Source Sans Pro" w:hAnsi="Source Sans Pro"/>
      </w:rPr>
    </w:lvl>
    <w:lvl w:ilvl="7">
      <w:numFmt w:val="bullet"/>
      <w:lvlText w:val="–"/>
      <w:lvlJc w:val="left"/>
      <w:pPr>
        <w:ind w:left="3240" w:hanging="360"/>
      </w:pPr>
      <w:rPr>
        <w:rFonts w:ascii="Source Sans Pro" w:hAnsi="Source Sans Pro"/>
      </w:rPr>
    </w:lvl>
    <w:lvl w:ilvl="8">
      <w:numFmt w:val="bullet"/>
      <w:lvlText w:val="–"/>
      <w:lvlJc w:val="left"/>
      <w:pPr>
        <w:ind w:left="3600" w:hanging="360"/>
      </w:pPr>
      <w:rPr>
        <w:rFonts w:ascii="Source Sans Pro" w:hAnsi="Source Sans Pro"/>
      </w:rPr>
    </w:lvl>
  </w:abstractNum>
  <w:abstractNum w:abstractNumId="4">
    <w:nsid w:val="7B066AAC"/>
    <w:multiLevelType w:val="multilevel"/>
    <w:tmpl w:val="191E18BA"/>
    <w:lvl w:ilvl="0">
      <w:start w:val="1"/>
      <w:numFmt w:val="upperLetter"/>
      <w:lvlText w:val="%1)"/>
      <w:lvlJc w:val="left"/>
      <w:pPr>
        <w:ind w:left="720" w:hanging="360"/>
      </w:pPr>
      <w:rPr>
        <w:rFonts w:ascii="Source Sans Pro" w:hAnsi="Source Sans Pro"/>
        <w:sz w:val="21"/>
        <w:szCs w:val="21"/>
      </w:rPr>
    </w:lvl>
    <w:lvl w:ilvl="1">
      <w:numFmt w:val="bullet"/>
      <w:lvlText w:val="–"/>
      <w:lvlJc w:val="left"/>
      <w:pPr>
        <w:ind w:left="1080" w:hanging="360"/>
      </w:pPr>
      <w:rPr>
        <w:rFonts w:ascii="Source Sans Pro" w:hAnsi="Source Sans Pro"/>
      </w:rPr>
    </w:lvl>
    <w:lvl w:ilvl="2">
      <w:numFmt w:val="bullet"/>
      <w:lvlText w:val="–"/>
      <w:lvlJc w:val="left"/>
      <w:pPr>
        <w:ind w:left="1440" w:hanging="360"/>
      </w:pPr>
      <w:rPr>
        <w:rFonts w:ascii="Source Sans Pro" w:hAnsi="Source Sans Pro"/>
      </w:rPr>
    </w:lvl>
    <w:lvl w:ilvl="3">
      <w:numFmt w:val="bullet"/>
      <w:lvlText w:val="–"/>
      <w:lvlJc w:val="left"/>
      <w:pPr>
        <w:ind w:left="1800" w:hanging="360"/>
      </w:pPr>
      <w:rPr>
        <w:rFonts w:ascii="Source Sans Pro" w:hAnsi="Source Sans Pro"/>
      </w:rPr>
    </w:lvl>
    <w:lvl w:ilvl="4">
      <w:numFmt w:val="bullet"/>
      <w:lvlText w:val="–"/>
      <w:lvlJc w:val="left"/>
      <w:pPr>
        <w:ind w:left="2160" w:hanging="360"/>
      </w:pPr>
      <w:rPr>
        <w:rFonts w:ascii="Source Sans Pro" w:hAnsi="Source Sans Pro"/>
      </w:rPr>
    </w:lvl>
    <w:lvl w:ilvl="5">
      <w:numFmt w:val="bullet"/>
      <w:lvlText w:val="–"/>
      <w:lvlJc w:val="left"/>
      <w:pPr>
        <w:ind w:left="2520" w:hanging="360"/>
      </w:pPr>
      <w:rPr>
        <w:rFonts w:ascii="Source Sans Pro" w:hAnsi="Source Sans Pro"/>
      </w:rPr>
    </w:lvl>
    <w:lvl w:ilvl="6">
      <w:numFmt w:val="bullet"/>
      <w:lvlText w:val="–"/>
      <w:lvlJc w:val="left"/>
      <w:pPr>
        <w:ind w:left="2880" w:hanging="360"/>
      </w:pPr>
      <w:rPr>
        <w:rFonts w:ascii="Source Sans Pro" w:hAnsi="Source Sans Pro"/>
      </w:rPr>
    </w:lvl>
    <w:lvl w:ilvl="7">
      <w:numFmt w:val="bullet"/>
      <w:lvlText w:val="–"/>
      <w:lvlJc w:val="left"/>
      <w:pPr>
        <w:ind w:left="3240" w:hanging="360"/>
      </w:pPr>
      <w:rPr>
        <w:rFonts w:ascii="Source Sans Pro" w:hAnsi="Source Sans Pro"/>
      </w:rPr>
    </w:lvl>
    <w:lvl w:ilvl="8">
      <w:numFmt w:val="bullet"/>
      <w:lvlText w:val="–"/>
      <w:lvlJc w:val="left"/>
      <w:pPr>
        <w:ind w:left="3600" w:hanging="360"/>
      </w:pPr>
      <w:rPr>
        <w:rFonts w:ascii="Source Sans Pro" w:hAnsi="Source Sans Pro"/>
      </w:rPr>
    </w:lvl>
  </w:abstractNum>
  <w:abstractNum w:abstractNumId="5">
    <w:nsid w:val="7E1D7945"/>
    <w:multiLevelType w:val="multilevel"/>
    <w:tmpl w:val="1DB625B8"/>
    <w:lvl w:ilvl="0">
      <w:start w:val="1"/>
      <w:numFmt w:val="upperLetter"/>
      <w:lvlText w:val="%1)"/>
      <w:lvlJc w:val="left"/>
      <w:pPr>
        <w:ind w:left="720" w:hanging="360"/>
      </w:pPr>
      <w:rPr>
        <w:rFonts w:ascii="Source Sans Pro" w:hAnsi="Source Sans Pro"/>
        <w:sz w:val="21"/>
        <w:szCs w:val="21"/>
      </w:rPr>
    </w:lvl>
    <w:lvl w:ilvl="1">
      <w:numFmt w:val="bullet"/>
      <w:lvlText w:val="–"/>
      <w:lvlJc w:val="left"/>
      <w:pPr>
        <w:ind w:left="1080" w:hanging="360"/>
      </w:pPr>
      <w:rPr>
        <w:rFonts w:ascii="Source Sans Pro" w:hAnsi="Source Sans Pro"/>
      </w:rPr>
    </w:lvl>
    <w:lvl w:ilvl="2">
      <w:numFmt w:val="bullet"/>
      <w:lvlText w:val="–"/>
      <w:lvlJc w:val="left"/>
      <w:pPr>
        <w:ind w:left="1440" w:hanging="360"/>
      </w:pPr>
      <w:rPr>
        <w:rFonts w:ascii="Source Sans Pro" w:hAnsi="Source Sans Pro"/>
      </w:rPr>
    </w:lvl>
    <w:lvl w:ilvl="3">
      <w:numFmt w:val="bullet"/>
      <w:lvlText w:val="–"/>
      <w:lvlJc w:val="left"/>
      <w:pPr>
        <w:ind w:left="1800" w:hanging="360"/>
      </w:pPr>
      <w:rPr>
        <w:rFonts w:ascii="Source Sans Pro" w:hAnsi="Source Sans Pro"/>
      </w:rPr>
    </w:lvl>
    <w:lvl w:ilvl="4">
      <w:numFmt w:val="bullet"/>
      <w:lvlText w:val="–"/>
      <w:lvlJc w:val="left"/>
      <w:pPr>
        <w:ind w:left="2160" w:hanging="360"/>
      </w:pPr>
      <w:rPr>
        <w:rFonts w:ascii="Source Sans Pro" w:hAnsi="Source Sans Pro"/>
      </w:rPr>
    </w:lvl>
    <w:lvl w:ilvl="5">
      <w:numFmt w:val="bullet"/>
      <w:lvlText w:val="–"/>
      <w:lvlJc w:val="left"/>
      <w:pPr>
        <w:ind w:left="2520" w:hanging="360"/>
      </w:pPr>
      <w:rPr>
        <w:rFonts w:ascii="Source Sans Pro" w:hAnsi="Source Sans Pro"/>
      </w:rPr>
    </w:lvl>
    <w:lvl w:ilvl="6">
      <w:numFmt w:val="bullet"/>
      <w:lvlText w:val="–"/>
      <w:lvlJc w:val="left"/>
      <w:pPr>
        <w:ind w:left="2880" w:hanging="360"/>
      </w:pPr>
      <w:rPr>
        <w:rFonts w:ascii="Source Sans Pro" w:hAnsi="Source Sans Pro"/>
      </w:rPr>
    </w:lvl>
    <w:lvl w:ilvl="7">
      <w:numFmt w:val="bullet"/>
      <w:lvlText w:val="–"/>
      <w:lvlJc w:val="left"/>
      <w:pPr>
        <w:ind w:left="3240" w:hanging="360"/>
      </w:pPr>
      <w:rPr>
        <w:rFonts w:ascii="Source Sans Pro" w:hAnsi="Source Sans Pro"/>
      </w:rPr>
    </w:lvl>
    <w:lvl w:ilvl="8">
      <w:numFmt w:val="bullet"/>
      <w:lvlText w:val="–"/>
      <w:lvlJc w:val="left"/>
      <w:pPr>
        <w:ind w:left="3600" w:hanging="360"/>
      </w:pPr>
      <w:rPr>
        <w:rFonts w:ascii="Source Sans Pro" w:hAnsi="Source Sans Pro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7F10"/>
    <w:rsid w:val="00182FE2"/>
    <w:rsid w:val="002644D1"/>
    <w:rsid w:val="0031426D"/>
    <w:rsid w:val="007B713C"/>
    <w:rsid w:val="008928F2"/>
    <w:rsid w:val="00A67E3A"/>
    <w:rsid w:val="00AE1502"/>
    <w:rsid w:val="00CC7F10"/>
    <w:rsid w:val="00D019E9"/>
    <w:rsid w:val="00D0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7F1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34"/>
    <w:qFormat/>
    <w:rsid w:val="00CC7F1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Textbody">
    <w:name w:val="Text body"/>
    <w:basedOn w:val="Normlny"/>
    <w:rsid w:val="00CC7F10"/>
    <w:pPr>
      <w:suppressAutoHyphens/>
      <w:autoSpaceDN w:val="0"/>
      <w:spacing w:after="113" w:line="249" w:lineRule="auto"/>
    </w:pPr>
    <w:rPr>
      <w:rFonts w:ascii="Source Sans Pro" w:eastAsia="Segoe UI" w:hAnsi="Source Sans Pro" w:cs="Tahom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2019-07-03T10:45:00Z</dcterms:created>
  <dcterms:modified xsi:type="dcterms:W3CDTF">2019-07-03T10:45:00Z</dcterms:modified>
</cp:coreProperties>
</file>